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21258" w:type="dxa"/>
        <w:tblLayout w:type="fixed"/>
        <w:tblLook w:val="04A0" w:firstRow="1" w:lastRow="0" w:firstColumn="1" w:lastColumn="0" w:noHBand="0" w:noVBand="1"/>
      </w:tblPr>
      <w:tblGrid>
        <w:gridCol w:w="1696"/>
        <w:gridCol w:w="1560"/>
        <w:gridCol w:w="2268"/>
        <w:gridCol w:w="6520"/>
        <w:gridCol w:w="1843"/>
        <w:gridCol w:w="2835"/>
        <w:gridCol w:w="1984"/>
        <w:gridCol w:w="2552"/>
      </w:tblGrid>
      <w:tr w:rsidR="00D775A8" w:rsidRPr="003C4B15" w:rsidTr="008D493F">
        <w:trPr>
          <w:tblHeader/>
        </w:trPr>
        <w:tc>
          <w:tcPr>
            <w:tcW w:w="1696" w:type="dxa"/>
            <w:shd w:val="clear" w:color="auto" w:fill="auto"/>
          </w:tcPr>
          <w:p w:rsidR="00D775A8" w:rsidRPr="003C4B15" w:rsidRDefault="00D775A8" w:rsidP="008D493F">
            <w:pPr>
              <w:rPr>
                <w:rFonts w:cs="Arial"/>
                <w:b/>
                <w:sz w:val="20"/>
                <w:szCs w:val="20"/>
              </w:rPr>
            </w:pPr>
            <w:r w:rsidRPr="003C4B15">
              <w:rPr>
                <w:rFonts w:cs="Arial"/>
                <w:b/>
                <w:sz w:val="20"/>
                <w:szCs w:val="20"/>
              </w:rPr>
              <w:t>Fish Species</w:t>
            </w:r>
          </w:p>
        </w:tc>
        <w:tc>
          <w:tcPr>
            <w:tcW w:w="1560" w:type="dxa"/>
            <w:shd w:val="clear" w:color="auto" w:fill="auto"/>
          </w:tcPr>
          <w:p w:rsidR="00D775A8" w:rsidRPr="003C4B15" w:rsidRDefault="00D775A8" w:rsidP="008D493F">
            <w:pPr>
              <w:rPr>
                <w:rFonts w:cs="Arial"/>
                <w:b/>
                <w:sz w:val="20"/>
                <w:szCs w:val="20"/>
              </w:rPr>
            </w:pPr>
            <w:r w:rsidRPr="003C4B15">
              <w:rPr>
                <w:rFonts w:cs="Arial"/>
                <w:b/>
                <w:sz w:val="20"/>
                <w:szCs w:val="20"/>
              </w:rPr>
              <w:t>Applicant modelled ‘population level’ output (ADZ behavioural model used)</w:t>
            </w:r>
          </w:p>
        </w:tc>
        <w:tc>
          <w:tcPr>
            <w:tcW w:w="2268" w:type="dxa"/>
            <w:shd w:val="clear" w:color="auto" w:fill="auto"/>
          </w:tcPr>
          <w:p w:rsidR="00D775A8" w:rsidRPr="003C4B15" w:rsidRDefault="00D775A8" w:rsidP="008D493F">
            <w:pPr>
              <w:rPr>
                <w:rFonts w:cs="Arial"/>
                <w:b/>
                <w:sz w:val="20"/>
                <w:szCs w:val="20"/>
              </w:rPr>
            </w:pPr>
            <w:r w:rsidRPr="003C4B15">
              <w:rPr>
                <w:rFonts w:cs="Arial"/>
                <w:b/>
                <w:sz w:val="20"/>
                <w:szCs w:val="20"/>
              </w:rPr>
              <w:t>Applicant Impact level from the Environmental Statement framework and turbine impact value</w:t>
            </w:r>
            <w:r w:rsidR="00B31790">
              <w:rPr>
                <w:rFonts w:cs="Arial"/>
                <w:b/>
                <w:sz w:val="20"/>
                <w:szCs w:val="20"/>
              </w:rPr>
              <w:t xml:space="preserve"> (see Environmental Statement Matrices below)</w:t>
            </w:r>
          </w:p>
        </w:tc>
        <w:tc>
          <w:tcPr>
            <w:tcW w:w="6520" w:type="dxa"/>
            <w:shd w:val="clear" w:color="auto" w:fill="auto"/>
          </w:tcPr>
          <w:p w:rsidR="00D775A8" w:rsidRDefault="00D775A8" w:rsidP="008D493F">
            <w:pPr>
              <w:rPr>
                <w:rFonts w:cs="Arial"/>
                <w:b/>
                <w:sz w:val="20"/>
                <w:szCs w:val="20"/>
              </w:rPr>
            </w:pPr>
            <w:r>
              <w:rPr>
                <w:rFonts w:cs="Arial"/>
                <w:b/>
                <w:sz w:val="20"/>
                <w:szCs w:val="20"/>
              </w:rPr>
              <w:t xml:space="preserve">Alterations to Parameters within the applicant’s submitted ADZ model based upon consultation responses. </w:t>
            </w:r>
          </w:p>
        </w:tc>
        <w:tc>
          <w:tcPr>
            <w:tcW w:w="1843" w:type="dxa"/>
            <w:shd w:val="clear" w:color="auto" w:fill="auto"/>
          </w:tcPr>
          <w:p w:rsidR="00D775A8" w:rsidRPr="003C4B15" w:rsidRDefault="00D775A8" w:rsidP="008D493F">
            <w:pPr>
              <w:rPr>
                <w:rFonts w:cs="Arial"/>
                <w:b/>
                <w:sz w:val="20"/>
                <w:szCs w:val="20"/>
              </w:rPr>
            </w:pPr>
            <w:r>
              <w:rPr>
                <w:rFonts w:cs="Arial"/>
                <w:b/>
                <w:sz w:val="20"/>
                <w:szCs w:val="20"/>
              </w:rPr>
              <w:t xml:space="preserve">ADZ Model output undertaken by </w:t>
            </w:r>
            <w:proofErr w:type="spellStart"/>
            <w:r>
              <w:rPr>
                <w:rFonts w:cs="Arial"/>
                <w:b/>
                <w:sz w:val="20"/>
                <w:szCs w:val="20"/>
              </w:rPr>
              <w:t>Cefas</w:t>
            </w:r>
            <w:proofErr w:type="spellEnd"/>
            <w:r>
              <w:rPr>
                <w:rFonts w:cs="Arial"/>
                <w:b/>
                <w:sz w:val="20"/>
                <w:szCs w:val="20"/>
              </w:rPr>
              <w:t xml:space="preserve">  in sensitivity testing of the altered parameters  </w:t>
            </w:r>
          </w:p>
        </w:tc>
        <w:tc>
          <w:tcPr>
            <w:tcW w:w="2835" w:type="dxa"/>
            <w:shd w:val="clear" w:color="auto" w:fill="auto"/>
          </w:tcPr>
          <w:p w:rsidR="00D775A8" w:rsidRPr="003C4B15" w:rsidRDefault="00D775A8" w:rsidP="008D493F">
            <w:pPr>
              <w:rPr>
                <w:rFonts w:cs="Arial"/>
                <w:b/>
                <w:sz w:val="20"/>
                <w:szCs w:val="20"/>
              </w:rPr>
            </w:pPr>
            <w:r>
              <w:rPr>
                <w:rFonts w:cs="Arial"/>
                <w:b/>
                <w:sz w:val="20"/>
                <w:szCs w:val="20"/>
              </w:rPr>
              <w:t>I</w:t>
            </w:r>
            <w:r w:rsidRPr="003C4B15">
              <w:rPr>
                <w:rFonts w:cs="Arial"/>
                <w:b/>
                <w:sz w:val="20"/>
                <w:szCs w:val="20"/>
              </w:rPr>
              <w:t>mpact level from the En</w:t>
            </w:r>
            <w:r>
              <w:rPr>
                <w:rFonts w:cs="Arial"/>
                <w:b/>
                <w:sz w:val="20"/>
                <w:szCs w:val="20"/>
              </w:rPr>
              <w:t xml:space="preserve">vironmental Statement Framework utilising the ADZ modelled output from </w:t>
            </w:r>
            <w:proofErr w:type="spellStart"/>
            <w:r>
              <w:rPr>
                <w:rFonts w:cs="Arial"/>
                <w:b/>
                <w:sz w:val="20"/>
                <w:szCs w:val="20"/>
              </w:rPr>
              <w:t>Cefas</w:t>
            </w:r>
            <w:proofErr w:type="spellEnd"/>
          </w:p>
        </w:tc>
        <w:tc>
          <w:tcPr>
            <w:tcW w:w="1984" w:type="dxa"/>
            <w:shd w:val="clear" w:color="auto" w:fill="auto"/>
          </w:tcPr>
          <w:p w:rsidR="00D775A8" w:rsidRDefault="00D775A8" w:rsidP="008D493F">
            <w:pPr>
              <w:rPr>
                <w:rFonts w:cs="Arial"/>
                <w:b/>
                <w:sz w:val="20"/>
                <w:szCs w:val="20"/>
              </w:rPr>
            </w:pPr>
            <w:r>
              <w:rPr>
                <w:rFonts w:cs="Arial"/>
                <w:b/>
                <w:sz w:val="20"/>
                <w:szCs w:val="20"/>
              </w:rPr>
              <w:t>NRW (Permitting Service) Consideration of impacts for ongoing determination based upon available evidence of turbine impacts</w:t>
            </w:r>
            <w:r>
              <w:rPr>
                <w:rStyle w:val="FootnoteReference"/>
                <w:rFonts w:cs="Arial"/>
                <w:b/>
                <w:sz w:val="20"/>
                <w:szCs w:val="20"/>
              </w:rPr>
              <w:footnoteReference w:id="1"/>
            </w:r>
          </w:p>
        </w:tc>
        <w:tc>
          <w:tcPr>
            <w:tcW w:w="2552" w:type="dxa"/>
            <w:shd w:val="clear" w:color="auto" w:fill="auto"/>
          </w:tcPr>
          <w:p w:rsidR="00D775A8" w:rsidRDefault="00D775A8" w:rsidP="008D493F">
            <w:pPr>
              <w:rPr>
                <w:rFonts w:cs="Arial"/>
                <w:b/>
                <w:sz w:val="20"/>
                <w:szCs w:val="20"/>
              </w:rPr>
            </w:pPr>
            <w:r>
              <w:rPr>
                <w:rFonts w:cs="Arial"/>
                <w:b/>
                <w:sz w:val="20"/>
                <w:szCs w:val="20"/>
              </w:rPr>
              <w:t xml:space="preserve">NRW (Permitting Service) Consideration of impacts for ongoing determination </w:t>
            </w:r>
            <w:r w:rsidRPr="003C4B15">
              <w:rPr>
                <w:rFonts w:cs="Arial"/>
                <w:b/>
                <w:sz w:val="20"/>
                <w:szCs w:val="20"/>
              </w:rPr>
              <w:t>from the Environmental Statement Framework (utilising modelled impacts due to turbine strike alone)</w:t>
            </w:r>
            <w:r w:rsidR="004832BF">
              <w:rPr>
                <w:rFonts w:cs="Arial"/>
                <w:b/>
                <w:sz w:val="20"/>
                <w:szCs w:val="20"/>
              </w:rPr>
              <w:t xml:space="preserve"> based upon current available evidence</w:t>
            </w:r>
            <w:r w:rsidR="00B31790">
              <w:rPr>
                <w:rFonts w:cs="Arial"/>
                <w:b/>
                <w:sz w:val="20"/>
                <w:szCs w:val="20"/>
              </w:rPr>
              <w:t xml:space="preserve"> (see Environmental Statement Matrices below)</w:t>
            </w: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Atlantic Salmon</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5.915%</w:t>
            </w:r>
          </w:p>
        </w:tc>
        <w:tc>
          <w:tcPr>
            <w:tcW w:w="2268" w:type="dxa"/>
            <w:shd w:val="clear" w:color="auto" w:fill="auto"/>
          </w:tcPr>
          <w:p w:rsidR="00D775A8" w:rsidRPr="003C4B15" w:rsidRDefault="00D775A8" w:rsidP="008D493F">
            <w:pPr>
              <w:rPr>
                <w:rFonts w:cs="Arial"/>
                <w:sz w:val="20"/>
                <w:szCs w:val="20"/>
              </w:rPr>
            </w:pPr>
            <w:r w:rsidRPr="003C4B15">
              <w:rPr>
                <w:rFonts w:cs="Arial"/>
                <w:sz w:val="20"/>
                <w:szCs w:val="20"/>
              </w:rPr>
              <w:t>Medium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 xml:space="preserve">Significance </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“Moderate adverse effect”</w:t>
            </w:r>
          </w:p>
        </w:tc>
        <w:tc>
          <w:tcPr>
            <w:tcW w:w="6520" w:type="dxa"/>
            <w:shd w:val="clear" w:color="auto" w:fill="auto"/>
          </w:tcPr>
          <w:p w:rsidR="00C076DF" w:rsidRDefault="00D775A8" w:rsidP="008D493F">
            <w:pPr>
              <w:rPr>
                <w:rFonts w:cs="Arial"/>
                <w:sz w:val="20"/>
                <w:szCs w:val="20"/>
              </w:rPr>
            </w:pPr>
            <w:r w:rsidRPr="00D775A8">
              <w:rPr>
                <w:rFonts w:cs="Arial"/>
                <w:sz w:val="20"/>
                <w:szCs w:val="20"/>
                <w:u w:val="single"/>
              </w:rPr>
              <w:t>Population Area</w:t>
            </w:r>
            <w:r w:rsidRPr="003C4B15">
              <w:rPr>
                <w:rFonts w:cs="Arial"/>
                <w:sz w:val="20"/>
                <w:szCs w:val="20"/>
              </w:rPr>
              <w:t xml:space="preserve">: </w:t>
            </w:r>
            <w:r w:rsidR="0006636A">
              <w:rPr>
                <w:rFonts w:cs="Arial"/>
                <w:sz w:val="20"/>
                <w:szCs w:val="20"/>
              </w:rPr>
              <w:t>Half of Swansea Bay</w:t>
            </w:r>
          </w:p>
          <w:p w:rsidR="00D775A8" w:rsidRPr="003C4B15" w:rsidRDefault="00C076DF" w:rsidP="008D493F">
            <w:pPr>
              <w:rPr>
                <w:rFonts w:cs="Arial"/>
                <w:sz w:val="20"/>
                <w:szCs w:val="20"/>
              </w:rPr>
            </w:pPr>
            <w:r>
              <w:rPr>
                <w:rFonts w:cs="Arial"/>
                <w:sz w:val="20"/>
                <w:szCs w:val="20"/>
              </w:rPr>
              <w:t>The applicants modelling a</w:t>
            </w:r>
            <w:r w:rsidR="00C3473E">
              <w:rPr>
                <w:rFonts w:cs="Arial"/>
                <w:sz w:val="20"/>
                <w:szCs w:val="20"/>
              </w:rPr>
              <w:t>ssume a random distribution of s</w:t>
            </w:r>
            <w:r>
              <w:rPr>
                <w:rFonts w:cs="Arial"/>
                <w:sz w:val="20"/>
                <w:szCs w:val="20"/>
              </w:rPr>
              <w:t>almon throughout the Swansea Bay area. Advice received in response to the Fur</w:t>
            </w:r>
            <w:r w:rsidR="00C3473E">
              <w:rPr>
                <w:rFonts w:cs="Arial"/>
                <w:sz w:val="20"/>
                <w:szCs w:val="20"/>
              </w:rPr>
              <w:t>ther Information consultation states</w:t>
            </w:r>
            <w:r>
              <w:rPr>
                <w:rFonts w:cs="Arial"/>
                <w:sz w:val="20"/>
                <w:szCs w:val="20"/>
              </w:rPr>
              <w:t xml:space="preserve"> th</w:t>
            </w:r>
            <w:r w:rsidR="00C3473E">
              <w:rPr>
                <w:rFonts w:cs="Arial"/>
                <w:sz w:val="20"/>
                <w:szCs w:val="20"/>
              </w:rPr>
              <w:t>at s</w:t>
            </w:r>
            <w:r>
              <w:rPr>
                <w:rFonts w:cs="Arial"/>
                <w:sz w:val="20"/>
                <w:szCs w:val="20"/>
              </w:rPr>
              <w:t xml:space="preserve">almon are more likely to be concentrated towards the river mouth/spend more time within that area. It is acknowledged that this cannot be accommodated directly within the model however </w:t>
            </w:r>
            <w:proofErr w:type="spellStart"/>
            <w:r w:rsidR="0006636A">
              <w:rPr>
                <w:rFonts w:cs="Arial"/>
                <w:sz w:val="20"/>
                <w:szCs w:val="20"/>
              </w:rPr>
              <w:t>Cefas</w:t>
            </w:r>
            <w:proofErr w:type="spellEnd"/>
            <w:r w:rsidR="0006636A">
              <w:rPr>
                <w:rFonts w:cs="Arial"/>
                <w:sz w:val="20"/>
                <w:szCs w:val="20"/>
              </w:rPr>
              <w:t xml:space="preserve"> advise that </w:t>
            </w:r>
            <w:r>
              <w:rPr>
                <w:rFonts w:cs="Arial"/>
                <w:sz w:val="20"/>
                <w:szCs w:val="20"/>
              </w:rPr>
              <w:t xml:space="preserve">halving the population area to </w:t>
            </w:r>
            <w:r w:rsidR="00C3473E">
              <w:rPr>
                <w:rFonts w:cs="Arial"/>
                <w:sz w:val="20"/>
                <w:szCs w:val="20"/>
              </w:rPr>
              <w:t>h</w:t>
            </w:r>
            <w:r>
              <w:rPr>
                <w:rFonts w:cs="Arial"/>
                <w:sz w:val="20"/>
                <w:szCs w:val="20"/>
              </w:rPr>
              <w:t xml:space="preserve">alf of </w:t>
            </w:r>
            <w:r w:rsidR="00C3473E">
              <w:rPr>
                <w:rFonts w:cs="Arial"/>
                <w:sz w:val="20"/>
                <w:szCs w:val="20"/>
              </w:rPr>
              <w:t xml:space="preserve">Swansea Bay </w:t>
            </w:r>
            <w:r>
              <w:rPr>
                <w:rFonts w:cs="Arial"/>
                <w:sz w:val="20"/>
                <w:szCs w:val="20"/>
              </w:rPr>
              <w:t xml:space="preserve">would be expected to have approximately the same </w:t>
            </w:r>
            <w:r w:rsidRPr="00C076DF">
              <w:rPr>
                <w:rFonts w:cs="Arial"/>
                <w:sz w:val="20"/>
                <w:szCs w:val="20"/>
              </w:rPr>
              <w:t xml:space="preserve">effect as assuming a linear decline in the density of fish, or time spent by fish, from the river mouth to the edge of the Bay. </w:t>
            </w:r>
          </w:p>
          <w:p w:rsidR="00D775A8" w:rsidRDefault="00D775A8" w:rsidP="008D493F">
            <w:pPr>
              <w:rPr>
                <w:rFonts w:cs="Arial"/>
                <w:sz w:val="20"/>
                <w:szCs w:val="20"/>
              </w:rPr>
            </w:pPr>
          </w:p>
          <w:p w:rsidR="0006636A" w:rsidRDefault="0006636A" w:rsidP="008D493F">
            <w:pPr>
              <w:rPr>
                <w:rFonts w:cs="Arial"/>
                <w:sz w:val="20"/>
                <w:szCs w:val="20"/>
              </w:rPr>
            </w:pPr>
            <w:r>
              <w:rPr>
                <w:rFonts w:cs="Arial"/>
                <w:sz w:val="20"/>
                <w:szCs w:val="20"/>
                <w:u w:val="single"/>
              </w:rPr>
              <w:t xml:space="preserve">Migration Cut off: </w:t>
            </w:r>
            <w:r>
              <w:rPr>
                <w:rFonts w:cs="Arial"/>
                <w:sz w:val="20"/>
                <w:szCs w:val="20"/>
              </w:rPr>
              <w:t>1</w:t>
            </w:r>
            <w:r w:rsidRPr="0006636A">
              <w:rPr>
                <w:rFonts w:cs="Arial"/>
                <w:sz w:val="20"/>
                <w:szCs w:val="20"/>
                <w:vertAlign w:val="superscript"/>
              </w:rPr>
              <w:t>st</w:t>
            </w:r>
            <w:r>
              <w:rPr>
                <w:rFonts w:cs="Arial"/>
                <w:sz w:val="20"/>
                <w:szCs w:val="20"/>
              </w:rPr>
              <w:t xml:space="preserve"> November for returning adults and  migration window for </w:t>
            </w:r>
            <w:proofErr w:type="spellStart"/>
            <w:r>
              <w:rPr>
                <w:rFonts w:cs="Arial"/>
                <w:sz w:val="20"/>
                <w:szCs w:val="20"/>
              </w:rPr>
              <w:t>smolts</w:t>
            </w:r>
            <w:proofErr w:type="spellEnd"/>
            <w:r>
              <w:rPr>
                <w:rFonts w:cs="Arial"/>
                <w:sz w:val="20"/>
                <w:szCs w:val="20"/>
              </w:rPr>
              <w:t xml:space="preserve"> of 1</w:t>
            </w:r>
            <w:r w:rsidRPr="0006636A">
              <w:rPr>
                <w:rFonts w:cs="Arial"/>
                <w:sz w:val="20"/>
                <w:szCs w:val="20"/>
                <w:vertAlign w:val="superscript"/>
              </w:rPr>
              <w:t>st</w:t>
            </w:r>
            <w:r>
              <w:rPr>
                <w:rFonts w:cs="Arial"/>
                <w:sz w:val="20"/>
                <w:szCs w:val="20"/>
              </w:rPr>
              <w:t xml:space="preserve"> April – 1</w:t>
            </w:r>
            <w:r w:rsidRPr="0006636A">
              <w:rPr>
                <w:rFonts w:cs="Arial"/>
                <w:sz w:val="20"/>
                <w:szCs w:val="20"/>
                <w:vertAlign w:val="superscript"/>
              </w:rPr>
              <w:t>st</w:t>
            </w:r>
            <w:r>
              <w:rPr>
                <w:rFonts w:cs="Arial"/>
                <w:sz w:val="20"/>
                <w:szCs w:val="20"/>
              </w:rPr>
              <w:t xml:space="preserve">  June</w:t>
            </w:r>
          </w:p>
          <w:p w:rsidR="0006636A" w:rsidRDefault="0006636A" w:rsidP="008D493F">
            <w:pPr>
              <w:rPr>
                <w:rFonts w:cs="Arial"/>
                <w:sz w:val="20"/>
                <w:szCs w:val="20"/>
              </w:rPr>
            </w:pPr>
          </w:p>
          <w:p w:rsidR="0006636A" w:rsidRDefault="0006636A" w:rsidP="008D493F">
            <w:pPr>
              <w:rPr>
                <w:rFonts w:cs="Arial"/>
                <w:sz w:val="20"/>
                <w:szCs w:val="20"/>
              </w:rPr>
            </w:pPr>
          </w:p>
          <w:p w:rsidR="0006636A" w:rsidRDefault="0006636A" w:rsidP="008D493F">
            <w:pPr>
              <w:rPr>
                <w:rFonts w:cs="Arial"/>
                <w:i/>
                <w:sz w:val="20"/>
                <w:szCs w:val="20"/>
              </w:rPr>
            </w:pPr>
            <w:r>
              <w:rPr>
                <w:rFonts w:cs="Arial"/>
                <w:i/>
                <w:sz w:val="20"/>
                <w:szCs w:val="20"/>
              </w:rPr>
              <w:t xml:space="preserve">1st November Cut off: </w:t>
            </w:r>
          </w:p>
          <w:p w:rsidR="0006636A" w:rsidRDefault="0006636A" w:rsidP="008D493F">
            <w:pPr>
              <w:rPr>
                <w:rFonts w:cs="Arial"/>
                <w:sz w:val="20"/>
                <w:szCs w:val="20"/>
              </w:rPr>
            </w:pPr>
            <w:r>
              <w:rPr>
                <w:rFonts w:cs="Arial"/>
                <w:sz w:val="20"/>
                <w:szCs w:val="20"/>
              </w:rPr>
              <w:t xml:space="preserve">The data from the </w:t>
            </w:r>
            <w:proofErr w:type="spellStart"/>
            <w:r>
              <w:rPr>
                <w:rFonts w:cs="Arial"/>
                <w:sz w:val="20"/>
                <w:szCs w:val="20"/>
              </w:rPr>
              <w:t>Panteg</w:t>
            </w:r>
            <w:proofErr w:type="spellEnd"/>
            <w:r>
              <w:rPr>
                <w:rFonts w:cs="Arial"/>
                <w:sz w:val="20"/>
                <w:szCs w:val="20"/>
              </w:rPr>
              <w:t xml:space="preserve"> trap indicate</w:t>
            </w:r>
            <w:r w:rsidR="00C3473E">
              <w:rPr>
                <w:rFonts w:cs="Arial"/>
                <w:sz w:val="20"/>
                <w:szCs w:val="20"/>
              </w:rPr>
              <w:t>s</w:t>
            </w:r>
            <w:r>
              <w:rPr>
                <w:rFonts w:cs="Arial"/>
                <w:sz w:val="20"/>
                <w:szCs w:val="20"/>
              </w:rPr>
              <w:t xml:space="preserve"> that about 94% of Salmon were caught before 1</w:t>
            </w:r>
            <w:r w:rsidRPr="0006636A">
              <w:rPr>
                <w:rFonts w:cs="Arial"/>
                <w:sz w:val="20"/>
                <w:szCs w:val="20"/>
                <w:vertAlign w:val="superscript"/>
              </w:rPr>
              <w:t>st</w:t>
            </w:r>
            <w:r>
              <w:rPr>
                <w:rFonts w:cs="Arial"/>
                <w:sz w:val="20"/>
                <w:szCs w:val="20"/>
              </w:rPr>
              <w:t xml:space="preserve"> November and well over 99% by 1</w:t>
            </w:r>
            <w:r w:rsidRPr="00CD61C6">
              <w:rPr>
                <w:rFonts w:cs="Arial"/>
                <w:sz w:val="20"/>
                <w:szCs w:val="20"/>
                <w:vertAlign w:val="superscript"/>
              </w:rPr>
              <w:t>st</w:t>
            </w:r>
            <w:r>
              <w:rPr>
                <w:rFonts w:cs="Arial"/>
                <w:sz w:val="20"/>
                <w:szCs w:val="20"/>
              </w:rPr>
              <w:t xml:space="preserve"> December. </w:t>
            </w:r>
            <w:proofErr w:type="spellStart"/>
            <w:r>
              <w:rPr>
                <w:rFonts w:cs="Arial"/>
                <w:sz w:val="20"/>
                <w:szCs w:val="20"/>
              </w:rPr>
              <w:t>Cefas</w:t>
            </w:r>
            <w:proofErr w:type="spellEnd"/>
            <w:r>
              <w:rPr>
                <w:rFonts w:cs="Arial"/>
                <w:sz w:val="20"/>
                <w:szCs w:val="20"/>
              </w:rPr>
              <w:t xml:space="preserve"> advise that in view of the fact that fish exiting the lagoon would still have to be attracted into the river and negotiate the barrage and lower reaches before reaching </w:t>
            </w:r>
            <w:proofErr w:type="spellStart"/>
            <w:r>
              <w:rPr>
                <w:rFonts w:cs="Arial"/>
                <w:sz w:val="20"/>
                <w:szCs w:val="20"/>
              </w:rPr>
              <w:t>Panteg</w:t>
            </w:r>
            <w:proofErr w:type="spellEnd"/>
            <w:r>
              <w:rPr>
                <w:rFonts w:cs="Arial"/>
                <w:sz w:val="20"/>
                <w:szCs w:val="20"/>
              </w:rPr>
              <w:t xml:space="preserve"> Trap it is considered adult salmon would need to escape the lagoon no later than 1</w:t>
            </w:r>
            <w:r w:rsidRPr="00CD61C6">
              <w:rPr>
                <w:rFonts w:cs="Arial"/>
                <w:sz w:val="20"/>
                <w:szCs w:val="20"/>
                <w:vertAlign w:val="superscript"/>
              </w:rPr>
              <w:t>st</w:t>
            </w:r>
            <w:r>
              <w:rPr>
                <w:rFonts w:cs="Arial"/>
                <w:sz w:val="20"/>
                <w:szCs w:val="20"/>
              </w:rPr>
              <w:t xml:space="preserve"> November. Therefore, the applicants proposed cut-off date of 1</w:t>
            </w:r>
            <w:r w:rsidRPr="0006636A">
              <w:rPr>
                <w:rFonts w:cs="Arial"/>
                <w:sz w:val="20"/>
                <w:szCs w:val="20"/>
                <w:vertAlign w:val="superscript"/>
              </w:rPr>
              <w:t>st</w:t>
            </w:r>
            <w:r>
              <w:rPr>
                <w:rFonts w:cs="Arial"/>
                <w:sz w:val="20"/>
                <w:szCs w:val="20"/>
              </w:rPr>
              <w:t xml:space="preserve"> December is too late</w:t>
            </w:r>
            <w:r w:rsidR="00C3473E">
              <w:rPr>
                <w:rFonts w:cs="Arial"/>
                <w:sz w:val="20"/>
                <w:szCs w:val="20"/>
              </w:rPr>
              <w:t xml:space="preserve"> and should be moved to 1</w:t>
            </w:r>
            <w:r w:rsidR="00C3473E" w:rsidRPr="00C3473E">
              <w:rPr>
                <w:rFonts w:cs="Arial"/>
                <w:sz w:val="20"/>
                <w:szCs w:val="20"/>
                <w:vertAlign w:val="superscript"/>
              </w:rPr>
              <w:t>st</w:t>
            </w:r>
            <w:r w:rsidR="00C3473E">
              <w:rPr>
                <w:rFonts w:cs="Arial"/>
                <w:sz w:val="20"/>
                <w:szCs w:val="20"/>
              </w:rPr>
              <w:t xml:space="preserve"> November for modelling purposes</w:t>
            </w:r>
            <w:r>
              <w:rPr>
                <w:rFonts w:cs="Arial"/>
                <w:sz w:val="20"/>
                <w:szCs w:val="20"/>
              </w:rPr>
              <w:t>.</w:t>
            </w:r>
          </w:p>
          <w:p w:rsidR="0006636A" w:rsidRDefault="0006636A" w:rsidP="008D493F">
            <w:pPr>
              <w:rPr>
                <w:rFonts w:cs="Arial"/>
                <w:i/>
                <w:sz w:val="20"/>
                <w:szCs w:val="20"/>
              </w:rPr>
            </w:pPr>
            <w:r>
              <w:rPr>
                <w:rFonts w:cs="Arial"/>
                <w:sz w:val="20"/>
                <w:szCs w:val="20"/>
              </w:rPr>
              <w:t xml:space="preserve"> </w:t>
            </w:r>
          </w:p>
          <w:p w:rsidR="0006636A" w:rsidRPr="0006636A" w:rsidRDefault="0006636A" w:rsidP="008D493F">
            <w:pPr>
              <w:rPr>
                <w:rFonts w:cs="Arial"/>
                <w:i/>
                <w:sz w:val="20"/>
                <w:szCs w:val="20"/>
              </w:rPr>
            </w:pPr>
            <w:r>
              <w:rPr>
                <w:rFonts w:cs="Arial"/>
                <w:i/>
                <w:sz w:val="20"/>
                <w:szCs w:val="20"/>
              </w:rPr>
              <w:t>Migration window 1</w:t>
            </w:r>
            <w:r w:rsidRPr="0006636A">
              <w:rPr>
                <w:rFonts w:cs="Arial"/>
                <w:i/>
                <w:sz w:val="20"/>
                <w:szCs w:val="20"/>
                <w:vertAlign w:val="superscript"/>
              </w:rPr>
              <w:t>st</w:t>
            </w:r>
            <w:r>
              <w:rPr>
                <w:rFonts w:cs="Arial"/>
                <w:i/>
                <w:sz w:val="20"/>
                <w:szCs w:val="20"/>
              </w:rPr>
              <w:t xml:space="preserve"> April – 1</w:t>
            </w:r>
            <w:r w:rsidRPr="0006636A">
              <w:rPr>
                <w:rFonts w:cs="Arial"/>
                <w:i/>
                <w:sz w:val="20"/>
                <w:szCs w:val="20"/>
                <w:vertAlign w:val="superscript"/>
              </w:rPr>
              <w:t>st</w:t>
            </w:r>
            <w:r>
              <w:rPr>
                <w:rFonts w:cs="Arial"/>
                <w:i/>
                <w:sz w:val="20"/>
                <w:szCs w:val="20"/>
              </w:rPr>
              <w:t xml:space="preserve"> June for Salmon </w:t>
            </w:r>
            <w:proofErr w:type="spellStart"/>
            <w:r>
              <w:rPr>
                <w:rFonts w:cs="Arial"/>
                <w:i/>
                <w:sz w:val="20"/>
                <w:szCs w:val="20"/>
              </w:rPr>
              <w:t>Smolts</w:t>
            </w:r>
            <w:proofErr w:type="spellEnd"/>
          </w:p>
          <w:p w:rsidR="00C528A5" w:rsidRPr="00C528A5" w:rsidRDefault="00C528A5" w:rsidP="008D493F">
            <w:pPr>
              <w:rPr>
                <w:rFonts w:cs="Arial"/>
                <w:sz w:val="20"/>
                <w:szCs w:val="20"/>
              </w:rPr>
            </w:pPr>
            <w:proofErr w:type="spellStart"/>
            <w:r>
              <w:rPr>
                <w:rFonts w:cs="Arial"/>
                <w:sz w:val="20"/>
                <w:szCs w:val="20"/>
              </w:rPr>
              <w:t>Cefas</w:t>
            </w:r>
            <w:proofErr w:type="spellEnd"/>
            <w:r>
              <w:rPr>
                <w:rFonts w:cs="Arial"/>
                <w:sz w:val="20"/>
                <w:szCs w:val="20"/>
              </w:rPr>
              <w:t xml:space="preserve"> advise that s</w:t>
            </w:r>
            <w:r w:rsidRPr="00C528A5">
              <w:rPr>
                <w:rFonts w:cs="Arial"/>
                <w:sz w:val="20"/>
                <w:szCs w:val="20"/>
              </w:rPr>
              <w:t xml:space="preserve">almon </w:t>
            </w:r>
            <w:proofErr w:type="spellStart"/>
            <w:r w:rsidRPr="00C528A5">
              <w:rPr>
                <w:rFonts w:cs="Arial"/>
                <w:sz w:val="20"/>
                <w:szCs w:val="20"/>
              </w:rPr>
              <w:t>smolts</w:t>
            </w:r>
            <w:proofErr w:type="spellEnd"/>
            <w:r w:rsidRPr="00C528A5">
              <w:rPr>
                <w:rFonts w:cs="Arial"/>
                <w:sz w:val="20"/>
                <w:szCs w:val="20"/>
              </w:rPr>
              <w:t xml:space="preserve"> normally emigrate during April and May in the southern part of UK and </w:t>
            </w:r>
            <w:r w:rsidR="00C3473E">
              <w:rPr>
                <w:rFonts w:cs="Arial"/>
                <w:sz w:val="20"/>
                <w:szCs w:val="20"/>
              </w:rPr>
              <w:t xml:space="preserve">that </w:t>
            </w:r>
            <w:r w:rsidRPr="00C528A5">
              <w:rPr>
                <w:rFonts w:cs="Arial"/>
                <w:sz w:val="20"/>
                <w:szCs w:val="20"/>
              </w:rPr>
              <w:t>the limited evidence available indicates that they move rapidly offshore, migrating northwards towards the Norwegian Sea.  Surveys in the Norwegian Sea (&gt;68° N) have shown that salmon post-</w:t>
            </w:r>
            <w:proofErr w:type="spellStart"/>
            <w:r w:rsidRPr="00C528A5">
              <w:rPr>
                <w:rFonts w:cs="Arial"/>
                <w:sz w:val="20"/>
                <w:szCs w:val="20"/>
              </w:rPr>
              <w:t>smolts</w:t>
            </w:r>
            <w:proofErr w:type="spellEnd"/>
            <w:r w:rsidRPr="00C528A5">
              <w:rPr>
                <w:rFonts w:cs="Arial"/>
                <w:sz w:val="20"/>
                <w:szCs w:val="20"/>
              </w:rPr>
              <w:t xml:space="preserve"> originating from rivers around the Irish Sea have reached that area by July (ref: EU-SALSEA-Merge project).  As a result, it would be a major concern if </w:t>
            </w:r>
            <w:proofErr w:type="spellStart"/>
            <w:r w:rsidRPr="00C528A5">
              <w:rPr>
                <w:rFonts w:cs="Arial"/>
                <w:sz w:val="20"/>
                <w:szCs w:val="20"/>
              </w:rPr>
              <w:t>smolts</w:t>
            </w:r>
            <w:proofErr w:type="spellEnd"/>
            <w:r w:rsidRPr="00C528A5">
              <w:rPr>
                <w:rFonts w:cs="Arial"/>
                <w:sz w:val="20"/>
                <w:szCs w:val="20"/>
              </w:rPr>
              <w:t xml:space="preserve"> were delayed in the lagoon until that time.  It is possible that even a short delay will have an adverse effect, and so the cut-off date should be set at 1</w:t>
            </w:r>
            <w:r w:rsidRPr="00C528A5">
              <w:rPr>
                <w:rFonts w:cs="Arial"/>
                <w:sz w:val="20"/>
                <w:szCs w:val="20"/>
                <w:vertAlign w:val="superscript"/>
              </w:rPr>
              <w:t>st</w:t>
            </w:r>
            <w:r w:rsidRPr="00C528A5">
              <w:rPr>
                <w:rFonts w:cs="Arial"/>
                <w:sz w:val="20"/>
                <w:szCs w:val="20"/>
              </w:rPr>
              <w:t xml:space="preserve"> June at the very latest.</w:t>
            </w:r>
          </w:p>
          <w:p w:rsidR="00C528A5" w:rsidRDefault="00C528A5" w:rsidP="008D493F">
            <w:pPr>
              <w:rPr>
                <w:rFonts w:cs="Arial"/>
                <w:sz w:val="20"/>
                <w:szCs w:val="20"/>
              </w:rPr>
            </w:pPr>
          </w:p>
          <w:p w:rsidR="00C528A5" w:rsidRDefault="00C528A5" w:rsidP="008D493F">
            <w:pPr>
              <w:rPr>
                <w:rFonts w:cs="Arial"/>
                <w:sz w:val="20"/>
                <w:szCs w:val="20"/>
              </w:rPr>
            </w:pPr>
            <w:r>
              <w:rPr>
                <w:rFonts w:cs="Arial"/>
                <w:sz w:val="20"/>
                <w:szCs w:val="20"/>
              </w:rPr>
              <w:t xml:space="preserve">Data from the River </w:t>
            </w:r>
            <w:proofErr w:type="spellStart"/>
            <w:r>
              <w:rPr>
                <w:rFonts w:cs="Arial"/>
                <w:sz w:val="20"/>
                <w:szCs w:val="20"/>
              </w:rPr>
              <w:t>Afan</w:t>
            </w:r>
            <w:proofErr w:type="spellEnd"/>
            <w:r>
              <w:rPr>
                <w:rFonts w:cs="Arial"/>
                <w:sz w:val="20"/>
                <w:szCs w:val="20"/>
              </w:rPr>
              <w:t xml:space="preserve"> shows that Salmon </w:t>
            </w:r>
            <w:proofErr w:type="spellStart"/>
            <w:r>
              <w:rPr>
                <w:rFonts w:cs="Arial"/>
                <w:sz w:val="20"/>
                <w:szCs w:val="20"/>
              </w:rPr>
              <w:t>Smolts</w:t>
            </w:r>
            <w:proofErr w:type="spellEnd"/>
            <w:r>
              <w:rPr>
                <w:rFonts w:cs="Arial"/>
                <w:sz w:val="20"/>
                <w:szCs w:val="20"/>
              </w:rPr>
              <w:t xml:space="preserve"> have been seen </w:t>
            </w:r>
            <w:r w:rsidR="00283D43">
              <w:rPr>
                <w:rFonts w:cs="Arial"/>
                <w:sz w:val="20"/>
                <w:szCs w:val="20"/>
              </w:rPr>
              <w:t xml:space="preserve">to run between </w:t>
            </w:r>
            <w:proofErr w:type="gramStart"/>
            <w:r w:rsidR="00283D43">
              <w:rPr>
                <w:rFonts w:cs="Arial"/>
                <w:sz w:val="20"/>
                <w:szCs w:val="20"/>
              </w:rPr>
              <w:t>mid-March</w:t>
            </w:r>
            <w:proofErr w:type="gramEnd"/>
            <w:r w:rsidR="00283D43">
              <w:rPr>
                <w:rFonts w:cs="Arial"/>
                <w:sz w:val="20"/>
                <w:szCs w:val="20"/>
              </w:rPr>
              <w:t xml:space="preserve"> to mid-</w:t>
            </w:r>
            <w:r>
              <w:rPr>
                <w:rFonts w:cs="Arial"/>
                <w:sz w:val="20"/>
                <w:szCs w:val="20"/>
              </w:rPr>
              <w:t>June, with the majority running between April in May. Noting the majority arrive in April, the arrival date has been moved from 1</w:t>
            </w:r>
            <w:r w:rsidRPr="00C528A5">
              <w:rPr>
                <w:rFonts w:cs="Arial"/>
                <w:sz w:val="20"/>
                <w:szCs w:val="20"/>
                <w:vertAlign w:val="superscript"/>
              </w:rPr>
              <w:t>st</w:t>
            </w:r>
            <w:r>
              <w:rPr>
                <w:rFonts w:cs="Arial"/>
                <w:sz w:val="20"/>
                <w:szCs w:val="20"/>
              </w:rPr>
              <w:t xml:space="preserve"> May to the 1</w:t>
            </w:r>
            <w:r w:rsidRPr="00C528A5">
              <w:rPr>
                <w:rFonts w:cs="Arial"/>
                <w:sz w:val="20"/>
                <w:szCs w:val="20"/>
                <w:vertAlign w:val="superscript"/>
              </w:rPr>
              <w:t>st</w:t>
            </w:r>
            <w:r>
              <w:rPr>
                <w:rFonts w:cs="Arial"/>
                <w:sz w:val="20"/>
                <w:szCs w:val="20"/>
              </w:rPr>
              <w:t xml:space="preserve"> April.</w:t>
            </w:r>
          </w:p>
          <w:p w:rsidR="00D775A8" w:rsidRPr="00D775A8" w:rsidRDefault="00D775A8" w:rsidP="008D493F">
            <w:pPr>
              <w:rPr>
                <w:rFonts w:cs="Arial"/>
                <w:i/>
                <w:sz w:val="20"/>
                <w:szCs w:val="20"/>
              </w:rPr>
            </w:pPr>
          </w:p>
          <w:p w:rsidR="00D775A8" w:rsidRPr="00D775A8" w:rsidRDefault="00D775A8" w:rsidP="008D493F">
            <w:pPr>
              <w:rPr>
                <w:rFonts w:cs="Arial"/>
                <w:i/>
                <w:sz w:val="20"/>
                <w:szCs w:val="20"/>
                <w:u w:val="single"/>
              </w:rPr>
            </w:pPr>
            <w:r w:rsidRPr="00D775A8">
              <w:rPr>
                <w:rFonts w:cs="Arial"/>
                <w:i/>
                <w:sz w:val="20"/>
                <w:szCs w:val="20"/>
                <w:u w:val="single"/>
              </w:rPr>
              <w:t xml:space="preserve">Parameter alteration not taken forward: </w:t>
            </w:r>
            <w:r w:rsidRPr="00D12517">
              <w:rPr>
                <w:rFonts w:cs="Arial"/>
                <w:i/>
                <w:sz w:val="20"/>
                <w:szCs w:val="20"/>
              </w:rPr>
              <w:t>Retention Time</w:t>
            </w:r>
            <w:r w:rsidRPr="00D775A8">
              <w:rPr>
                <w:rFonts w:cs="Arial"/>
                <w:i/>
                <w:sz w:val="20"/>
                <w:szCs w:val="20"/>
                <w:u w:val="single"/>
              </w:rPr>
              <w:t xml:space="preserve"> </w:t>
            </w:r>
          </w:p>
          <w:p w:rsidR="004832BF" w:rsidRDefault="004832BF" w:rsidP="008D493F">
            <w:pPr>
              <w:rPr>
                <w:rFonts w:cs="Arial"/>
                <w:sz w:val="20"/>
                <w:szCs w:val="20"/>
              </w:rPr>
            </w:pPr>
            <w:r>
              <w:rPr>
                <w:rFonts w:cs="Arial"/>
                <w:sz w:val="20"/>
                <w:szCs w:val="20"/>
              </w:rPr>
              <w:lastRenderedPageBreak/>
              <w:t xml:space="preserve">It is considered </w:t>
            </w:r>
            <w:r w:rsidR="00C3473E">
              <w:rPr>
                <w:rFonts w:cs="Arial"/>
                <w:sz w:val="20"/>
                <w:szCs w:val="20"/>
              </w:rPr>
              <w:t>that there is a potential that s</w:t>
            </w:r>
            <w:r>
              <w:rPr>
                <w:rFonts w:cs="Arial"/>
                <w:sz w:val="20"/>
                <w:szCs w:val="20"/>
              </w:rPr>
              <w:t>almon may be retain</w:t>
            </w:r>
            <w:r w:rsidR="003B6CF5">
              <w:rPr>
                <w:rFonts w:cs="Arial"/>
                <w:sz w:val="20"/>
                <w:szCs w:val="20"/>
              </w:rPr>
              <w:t>ed</w:t>
            </w:r>
            <w:r>
              <w:rPr>
                <w:rFonts w:cs="Arial"/>
                <w:sz w:val="20"/>
                <w:szCs w:val="20"/>
              </w:rPr>
              <w:t xml:space="preserve"> in the lagoon for a period of time. </w:t>
            </w:r>
          </w:p>
          <w:p w:rsidR="004832BF" w:rsidRDefault="004832BF" w:rsidP="008D493F">
            <w:pPr>
              <w:rPr>
                <w:rFonts w:cs="Arial"/>
                <w:sz w:val="20"/>
                <w:szCs w:val="20"/>
              </w:rPr>
            </w:pPr>
          </w:p>
          <w:p w:rsidR="004832BF" w:rsidRPr="004832BF" w:rsidRDefault="004832BF" w:rsidP="008D493F">
            <w:pPr>
              <w:rPr>
                <w:rFonts w:cs="Arial"/>
                <w:sz w:val="20"/>
                <w:szCs w:val="20"/>
              </w:rPr>
            </w:pPr>
            <w:r>
              <w:rPr>
                <w:rFonts w:cs="Arial"/>
                <w:sz w:val="20"/>
                <w:szCs w:val="20"/>
              </w:rPr>
              <w:t>However</w:t>
            </w:r>
            <w:r w:rsidR="00E36B05">
              <w:rPr>
                <w:rFonts w:cs="Arial"/>
                <w:sz w:val="20"/>
                <w:szCs w:val="20"/>
              </w:rPr>
              <w:t>,</w:t>
            </w:r>
            <w:r>
              <w:rPr>
                <w:rFonts w:cs="Arial"/>
                <w:sz w:val="20"/>
                <w:szCs w:val="20"/>
              </w:rPr>
              <w:t xml:space="preserve"> </w:t>
            </w:r>
            <w:proofErr w:type="spellStart"/>
            <w:r>
              <w:rPr>
                <w:rFonts w:cs="Arial"/>
                <w:sz w:val="20"/>
                <w:szCs w:val="20"/>
              </w:rPr>
              <w:t>Cefas</w:t>
            </w:r>
            <w:proofErr w:type="spellEnd"/>
            <w:r>
              <w:rPr>
                <w:rFonts w:cs="Arial"/>
                <w:sz w:val="20"/>
                <w:szCs w:val="20"/>
              </w:rPr>
              <w:t xml:space="preserve"> advise that t</w:t>
            </w:r>
            <w:r w:rsidRPr="004832BF">
              <w:rPr>
                <w:rFonts w:cs="Arial"/>
                <w:sz w:val="20"/>
                <w:szCs w:val="20"/>
              </w:rPr>
              <w:t xml:space="preserve">here is insufficient information on the likely effects of retention in the lagoon to determine whether </w:t>
            </w:r>
            <w:r w:rsidR="00C3473E">
              <w:rPr>
                <w:rFonts w:cs="Arial"/>
                <w:sz w:val="20"/>
                <w:szCs w:val="20"/>
              </w:rPr>
              <w:t xml:space="preserve">a maximum retention time (MRT) </w:t>
            </w:r>
            <w:r w:rsidRPr="004832BF">
              <w:rPr>
                <w:rFonts w:cs="Arial"/>
                <w:sz w:val="20"/>
                <w:szCs w:val="20"/>
              </w:rPr>
              <w:t xml:space="preserve">should </w:t>
            </w:r>
            <w:r w:rsidR="00C3473E">
              <w:rPr>
                <w:rFonts w:cs="Arial"/>
                <w:sz w:val="20"/>
                <w:szCs w:val="20"/>
              </w:rPr>
              <w:t>be applied</w:t>
            </w:r>
            <w:r w:rsidRPr="004832BF">
              <w:rPr>
                <w:rFonts w:cs="Arial"/>
                <w:sz w:val="20"/>
                <w:szCs w:val="20"/>
              </w:rPr>
              <w:t xml:space="preserve"> and, if so, what value to use.  There is some evidence (e.g. from studies of sea trout in the River Glaslyn and salmon tracking studies in SW England) that if fish are prevented from migrating for a period, they may be deterred from continuing their normal migratory behaviour, but there is currently no clear basis for setting a specific MRT for any life stage of salmon.  Inclusion of any MRT will increase the impact estimates, and the shorter the MRT the greater will be the increase.</w:t>
            </w:r>
          </w:p>
          <w:p w:rsidR="004832BF" w:rsidRDefault="004832BF" w:rsidP="008D493F">
            <w:pPr>
              <w:rPr>
                <w:rFonts w:cs="Arial"/>
                <w:sz w:val="20"/>
                <w:szCs w:val="20"/>
              </w:rPr>
            </w:pPr>
          </w:p>
          <w:p w:rsidR="004832BF" w:rsidRDefault="004832BF" w:rsidP="008D493F">
            <w:pPr>
              <w:rPr>
                <w:rFonts w:cs="Arial"/>
                <w:sz w:val="20"/>
                <w:szCs w:val="20"/>
              </w:rPr>
            </w:pPr>
            <w:proofErr w:type="spellStart"/>
            <w:r>
              <w:rPr>
                <w:rFonts w:cs="Arial"/>
                <w:sz w:val="20"/>
                <w:szCs w:val="20"/>
              </w:rPr>
              <w:t>Cefas</w:t>
            </w:r>
            <w:proofErr w:type="spellEnd"/>
            <w:r>
              <w:rPr>
                <w:rFonts w:cs="Arial"/>
                <w:sz w:val="20"/>
                <w:szCs w:val="20"/>
              </w:rPr>
              <w:t xml:space="preserve"> provided the results of sensitivity analysis in which if an arbitrary MRT is set at 5 days then the impact level would double.  </w:t>
            </w:r>
          </w:p>
          <w:p w:rsidR="004832BF" w:rsidRDefault="004832BF" w:rsidP="008D493F">
            <w:pPr>
              <w:rPr>
                <w:rFonts w:cs="Arial"/>
                <w:sz w:val="20"/>
                <w:szCs w:val="20"/>
              </w:rPr>
            </w:pPr>
          </w:p>
          <w:p w:rsidR="004832BF" w:rsidRDefault="004832BF" w:rsidP="008D493F">
            <w:pPr>
              <w:rPr>
                <w:rFonts w:cs="Arial"/>
                <w:sz w:val="20"/>
                <w:szCs w:val="20"/>
              </w:rPr>
            </w:pPr>
            <w:r>
              <w:rPr>
                <w:rFonts w:cs="Arial"/>
                <w:sz w:val="20"/>
                <w:szCs w:val="20"/>
              </w:rPr>
              <w:t xml:space="preserve">Given the lack of available evidence to set the MRT parameter </w:t>
            </w:r>
            <w:proofErr w:type="spellStart"/>
            <w:r>
              <w:rPr>
                <w:rFonts w:cs="Arial"/>
                <w:sz w:val="20"/>
                <w:szCs w:val="20"/>
              </w:rPr>
              <w:t>Cefas</w:t>
            </w:r>
            <w:proofErr w:type="spellEnd"/>
            <w:r>
              <w:rPr>
                <w:rFonts w:cs="Arial"/>
                <w:sz w:val="20"/>
                <w:szCs w:val="20"/>
              </w:rPr>
              <w:t xml:space="preserve"> highlight that they do not advise </w:t>
            </w:r>
            <w:r w:rsidRPr="004832BF">
              <w:rPr>
                <w:rFonts w:cs="Arial"/>
                <w:sz w:val="20"/>
                <w:szCs w:val="20"/>
              </w:rPr>
              <w:t xml:space="preserve">that the impact assessments should be doubled for salmon.  </w:t>
            </w:r>
          </w:p>
          <w:p w:rsidR="004832BF" w:rsidRDefault="004832BF" w:rsidP="008D493F">
            <w:pPr>
              <w:rPr>
                <w:rFonts w:cs="Arial"/>
                <w:sz w:val="20"/>
                <w:szCs w:val="20"/>
              </w:rPr>
            </w:pPr>
          </w:p>
          <w:p w:rsidR="004832BF" w:rsidRPr="004832BF" w:rsidRDefault="004832BF" w:rsidP="008D493F">
            <w:pPr>
              <w:rPr>
                <w:rFonts w:cs="Arial"/>
                <w:sz w:val="20"/>
                <w:szCs w:val="20"/>
              </w:rPr>
            </w:pPr>
            <w:r>
              <w:rPr>
                <w:rFonts w:cs="Arial"/>
                <w:sz w:val="20"/>
                <w:szCs w:val="20"/>
              </w:rPr>
              <w:t>The NRW (Permitting Service) note</w:t>
            </w:r>
            <w:r w:rsidR="00056ECA">
              <w:rPr>
                <w:rFonts w:cs="Arial"/>
                <w:sz w:val="20"/>
                <w:szCs w:val="20"/>
              </w:rPr>
              <w:t xml:space="preserve"> the</w:t>
            </w:r>
            <w:r>
              <w:rPr>
                <w:rFonts w:cs="Arial"/>
                <w:sz w:val="20"/>
                <w:szCs w:val="20"/>
              </w:rPr>
              <w:t xml:space="preserve"> arbitrary nature of the 5 days provided in the </w:t>
            </w:r>
            <w:proofErr w:type="spellStart"/>
            <w:r>
              <w:rPr>
                <w:rFonts w:cs="Arial"/>
                <w:sz w:val="20"/>
                <w:szCs w:val="20"/>
              </w:rPr>
              <w:t>Cefas</w:t>
            </w:r>
            <w:proofErr w:type="spellEnd"/>
            <w:r>
              <w:rPr>
                <w:rFonts w:cs="Arial"/>
                <w:sz w:val="20"/>
                <w:szCs w:val="20"/>
              </w:rPr>
              <w:t xml:space="preserve"> sensitivity analysis and as such have not included MRT parameter in the impacts levels for determination. However this uncertaint</w:t>
            </w:r>
            <w:r w:rsidR="00E36B05">
              <w:rPr>
                <w:rFonts w:cs="Arial"/>
                <w:sz w:val="20"/>
                <w:szCs w:val="20"/>
              </w:rPr>
              <w:t xml:space="preserve">y is acknowledged </w:t>
            </w:r>
            <w:r w:rsidR="00056ECA">
              <w:rPr>
                <w:rFonts w:cs="Arial"/>
                <w:sz w:val="20"/>
                <w:szCs w:val="20"/>
              </w:rPr>
              <w:t>and the NRW (Permitting Service) notes</w:t>
            </w:r>
            <w:r w:rsidR="00E36B05">
              <w:rPr>
                <w:rFonts w:cs="Arial"/>
                <w:sz w:val="20"/>
                <w:szCs w:val="20"/>
              </w:rPr>
              <w:t xml:space="preserve"> the</w:t>
            </w:r>
            <w:r>
              <w:rPr>
                <w:rFonts w:cs="Arial"/>
                <w:sz w:val="20"/>
                <w:szCs w:val="20"/>
              </w:rPr>
              <w:t xml:space="preserve"> impact levels are potentially higher that the 20 %.</w:t>
            </w:r>
          </w:p>
          <w:p w:rsidR="00D775A8" w:rsidRDefault="00D775A8" w:rsidP="008D493F">
            <w:pPr>
              <w:rPr>
                <w:rFonts w:cs="Arial"/>
                <w:sz w:val="20"/>
                <w:szCs w:val="20"/>
              </w:rPr>
            </w:pPr>
          </w:p>
        </w:tc>
        <w:tc>
          <w:tcPr>
            <w:tcW w:w="1843" w:type="dxa"/>
            <w:shd w:val="clear" w:color="auto" w:fill="auto"/>
          </w:tcPr>
          <w:p w:rsidR="00D775A8" w:rsidRPr="003C4B15" w:rsidRDefault="00D775A8" w:rsidP="008D493F">
            <w:pPr>
              <w:rPr>
                <w:rFonts w:cs="Arial"/>
                <w:sz w:val="20"/>
                <w:szCs w:val="20"/>
              </w:rPr>
            </w:pPr>
            <w:r>
              <w:rPr>
                <w:rFonts w:cs="Arial"/>
                <w:sz w:val="20"/>
                <w:szCs w:val="20"/>
              </w:rPr>
              <w:lastRenderedPageBreak/>
              <w:t>21%</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High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“Major Adverse effect”</w:t>
            </w:r>
          </w:p>
        </w:tc>
        <w:tc>
          <w:tcPr>
            <w:tcW w:w="1984" w:type="dxa"/>
            <w:shd w:val="clear" w:color="auto" w:fill="auto"/>
          </w:tcPr>
          <w:p w:rsidR="00D775A8" w:rsidRPr="003C4B15" w:rsidRDefault="008E0A60" w:rsidP="008D493F">
            <w:pPr>
              <w:rPr>
                <w:rFonts w:cs="Arial"/>
                <w:sz w:val="20"/>
                <w:szCs w:val="20"/>
              </w:rPr>
            </w:pPr>
            <w:r>
              <w:rPr>
                <w:rFonts w:cs="Arial"/>
                <w:sz w:val="20"/>
                <w:szCs w:val="20"/>
              </w:rPr>
              <w:t>Minimum of 21</w:t>
            </w:r>
            <w:r w:rsidR="00D775A8">
              <w:rPr>
                <w:rFonts w:cs="Arial"/>
                <w:sz w:val="20"/>
                <w:szCs w:val="20"/>
              </w:rPr>
              <w:t xml:space="preserve">% </w:t>
            </w:r>
          </w:p>
        </w:tc>
        <w:tc>
          <w:tcPr>
            <w:tcW w:w="2552" w:type="dxa"/>
            <w:shd w:val="clear" w:color="auto" w:fill="auto"/>
          </w:tcPr>
          <w:p w:rsidR="00D775A8" w:rsidRDefault="00D775A8" w:rsidP="008D493F">
            <w:pPr>
              <w:rPr>
                <w:rFonts w:cs="Arial"/>
                <w:sz w:val="20"/>
                <w:szCs w:val="20"/>
              </w:rPr>
            </w:pPr>
            <w:r>
              <w:rPr>
                <w:rFonts w:cs="Arial"/>
                <w:sz w:val="20"/>
                <w:szCs w:val="20"/>
              </w:rPr>
              <w:t>High turbine impact</w:t>
            </w:r>
          </w:p>
          <w:p w:rsidR="00D775A8" w:rsidRDefault="00D775A8" w:rsidP="008D493F">
            <w:pPr>
              <w:rPr>
                <w:rFonts w:cs="Arial"/>
                <w:sz w:val="20"/>
                <w:szCs w:val="20"/>
              </w:rPr>
            </w:pPr>
          </w:p>
          <w:p w:rsidR="00D775A8" w:rsidRPr="003C4B15" w:rsidRDefault="00D775A8" w:rsidP="008D493F">
            <w:pPr>
              <w:rPr>
                <w:rFonts w:cs="Arial"/>
                <w:sz w:val="20"/>
                <w:szCs w:val="20"/>
              </w:rPr>
            </w:pPr>
            <w:r>
              <w:rPr>
                <w:rFonts w:cs="Arial"/>
                <w:sz w:val="20"/>
                <w:szCs w:val="20"/>
              </w:rPr>
              <w:t>“ Major Adverse effect</w:t>
            </w:r>
            <w:r>
              <w:rPr>
                <w:rStyle w:val="EndnoteReference"/>
                <w:rFonts w:cs="Arial"/>
                <w:sz w:val="20"/>
                <w:szCs w:val="20"/>
              </w:rPr>
              <w:endnoteReference w:id="1"/>
            </w:r>
            <w:r>
              <w:rPr>
                <w:rFonts w:cs="Arial"/>
                <w:sz w:val="20"/>
                <w:szCs w:val="20"/>
              </w:rPr>
              <w:t>”</w:t>
            </w: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Sea Trout</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10.15%</w:t>
            </w:r>
          </w:p>
        </w:tc>
        <w:tc>
          <w:tcPr>
            <w:tcW w:w="2268" w:type="dxa"/>
            <w:shd w:val="clear" w:color="auto" w:fill="auto"/>
          </w:tcPr>
          <w:p w:rsidR="00D775A8" w:rsidRPr="003C4B15" w:rsidRDefault="00D775A8" w:rsidP="008D493F">
            <w:pPr>
              <w:rPr>
                <w:rFonts w:cs="Arial"/>
                <w:sz w:val="20"/>
                <w:szCs w:val="20"/>
              </w:rPr>
            </w:pPr>
            <w:r w:rsidRPr="003C4B15">
              <w:rPr>
                <w:rFonts w:cs="Arial"/>
                <w:sz w:val="20"/>
                <w:szCs w:val="20"/>
              </w:rPr>
              <w:t>High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“Major Adverse Effect”</w:t>
            </w:r>
          </w:p>
        </w:tc>
        <w:tc>
          <w:tcPr>
            <w:tcW w:w="6520" w:type="dxa"/>
            <w:shd w:val="clear" w:color="auto" w:fill="auto"/>
          </w:tcPr>
          <w:p w:rsidR="004832BF" w:rsidRDefault="00D775A8" w:rsidP="008D493F">
            <w:pPr>
              <w:rPr>
                <w:rFonts w:cs="Arial"/>
                <w:sz w:val="20"/>
                <w:szCs w:val="20"/>
              </w:rPr>
            </w:pPr>
            <w:r>
              <w:rPr>
                <w:rFonts w:cs="Arial"/>
                <w:sz w:val="20"/>
                <w:szCs w:val="20"/>
                <w:u w:val="single"/>
              </w:rPr>
              <w:t>Population Area</w:t>
            </w:r>
            <w:r w:rsidR="004832BF">
              <w:rPr>
                <w:rFonts w:cs="Arial"/>
                <w:sz w:val="20"/>
                <w:szCs w:val="20"/>
                <w:u w:val="single"/>
              </w:rPr>
              <w:t xml:space="preserve">: </w:t>
            </w:r>
            <w:r w:rsidR="004832BF">
              <w:rPr>
                <w:rFonts w:cs="Arial"/>
                <w:sz w:val="20"/>
                <w:szCs w:val="20"/>
              </w:rPr>
              <w:t xml:space="preserve">Half of Swansea Bay for Migratory Stages </w:t>
            </w:r>
          </w:p>
          <w:p w:rsidR="004832BF" w:rsidRPr="003C4B15" w:rsidRDefault="004832BF" w:rsidP="008D493F">
            <w:pPr>
              <w:rPr>
                <w:rFonts w:cs="Arial"/>
                <w:sz w:val="20"/>
                <w:szCs w:val="20"/>
              </w:rPr>
            </w:pPr>
            <w:r>
              <w:rPr>
                <w:rFonts w:cs="Arial"/>
                <w:sz w:val="20"/>
                <w:szCs w:val="20"/>
              </w:rPr>
              <w:t>The applicants modelling assume</w:t>
            </w:r>
            <w:r w:rsidR="00056ECA">
              <w:rPr>
                <w:rFonts w:cs="Arial"/>
                <w:sz w:val="20"/>
                <w:szCs w:val="20"/>
              </w:rPr>
              <w:t>s a random distribution of sea t</w:t>
            </w:r>
            <w:r>
              <w:rPr>
                <w:rFonts w:cs="Arial"/>
                <w:sz w:val="20"/>
                <w:szCs w:val="20"/>
              </w:rPr>
              <w:t>rout throughout the Swansea Bay area. Advice received in response to the Fur</w:t>
            </w:r>
            <w:r w:rsidR="008C7B3A">
              <w:rPr>
                <w:rFonts w:cs="Arial"/>
                <w:sz w:val="20"/>
                <w:szCs w:val="20"/>
              </w:rPr>
              <w:t>ther Information consultation states</w:t>
            </w:r>
            <w:r>
              <w:rPr>
                <w:rFonts w:cs="Arial"/>
                <w:sz w:val="20"/>
                <w:szCs w:val="20"/>
              </w:rPr>
              <w:t xml:space="preserve"> that </w:t>
            </w:r>
            <w:r w:rsidR="00056ECA">
              <w:rPr>
                <w:rFonts w:cs="Arial"/>
                <w:sz w:val="20"/>
                <w:szCs w:val="20"/>
              </w:rPr>
              <w:t>sea trout</w:t>
            </w:r>
            <w:r>
              <w:rPr>
                <w:rFonts w:cs="Arial"/>
                <w:sz w:val="20"/>
                <w:szCs w:val="20"/>
              </w:rPr>
              <w:t xml:space="preserve"> are more likely to be concentrated towards the river mouth/spend more time within that area. It is acknowledged that this cannot be accommodated directly within the model however </w:t>
            </w:r>
            <w:proofErr w:type="spellStart"/>
            <w:r>
              <w:rPr>
                <w:rFonts w:cs="Arial"/>
                <w:sz w:val="20"/>
                <w:szCs w:val="20"/>
              </w:rPr>
              <w:t>Cefas</w:t>
            </w:r>
            <w:proofErr w:type="spellEnd"/>
            <w:r>
              <w:rPr>
                <w:rFonts w:cs="Arial"/>
                <w:sz w:val="20"/>
                <w:szCs w:val="20"/>
              </w:rPr>
              <w:t xml:space="preserve"> advise that halving the population area to Half of</w:t>
            </w:r>
            <w:r w:rsidR="00056ECA">
              <w:rPr>
                <w:rFonts w:cs="Arial"/>
                <w:sz w:val="20"/>
                <w:szCs w:val="20"/>
              </w:rPr>
              <w:t xml:space="preserve"> Swansea Bay</w:t>
            </w:r>
            <w:r>
              <w:rPr>
                <w:rFonts w:cs="Arial"/>
                <w:sz w:val="20"/>
                <w:szCs w:val="20"/>
              </w:rPr>
              <w:t xml:space="preserve"> would be expected to have approximately the same </w:t>
            </w:r>
            <w:r w:rsidRPr="00C076DF">
              <w:rPr>
                <w:rFonts w:cs="Arial"/>
                <w:sz w:val="20"/>
                <w:szCs w:val="20"/>
              </w:rPr>
              <w:t xml:space="preserve">effect as assuming a linear decline in the density of fish, or time spent by fish, from the river mouth to the edge of the Bay. </w:t>
            </w:r>
          </w:p>
          <w:p w:rsidR="00D775A8" w:rsidRPr="003C4B15" w:rsidRDefault="00D775A8" w:rsidP="008D493F">
            <w:pPr>
              <w:rPr>
                <w:rFonts w:cs="Arial"/>
                <w:sz w:val="20"/>
                <w:szCs w:val="20"/>
              </w:rPr>
            </w:pPr>
          </w:p>
          <w:p w:rsidR="00D775A8" w:rsidRPr="00D12517" w:rsidRDefault="00D775A8" w:rsidP="008D493F">
            <w:pPr>
              <w:rPr>
                <w:rFonts w:cs="Arial"/>
                <w:sz w:val="20"/>
                <w:szCs w:val="20"/>
              </w:rPr>
            </w:pPr>
            <w:r>
              <w:rPr>
                <w:rFonts w:cs="Arial"/>
                <w:sz w:val="20"/>
                <w:szCs w:val="20"/>
                <w:u w:val="single"/>
              </w:rPr>
              <w:t>Migration Cut-off date</w:t>
            </w:r>
            <w:r w:rsidR="00E36B05">
              <w:rPr>
                <w:rFonts w:cs="Arial"/>
                <w:sz w:val="20"/>
                <w:szCs w:val="20"/>
                <w:u w:val="single"/>
              </w:rPr>
              <w:t xml:space="preserve">: </w:t>
            </w:r>
            <w:r w:rsidR="00E36B05" w:rsidRPr="00D12517">
              <w:rPr>
                <w:rFonts w:cs="Arial"/>
                <w:sz w:val="20"/>
                <w:szCs w:val="20"/>
              </w:rPr>
              <w:t>1</w:t>
            </w:r>
            <w:r w:rsidR="00E36B05" w:rsidRPr="00D12517">
              <w:rPr>
                <w:rFonts w:cs="Arial"/>
                <w:sz w:val="20"/>
                <w:szCs w:val="20"/>
                <w:vertAlign w:val="superscript"/>
              </w:rPr>
              <w:t>st</w:t>
            </w:r>
            <w:r w:rsidR="00E36B05" w:rsidRPr="00D12517">
              <w:rPr>
                <w:rFonts w:cs="Arial"/>
                <w:sz w:val="20"/>
                <w:szCs w:val="20"/>
              </w:rPr>
              <w:t xml:space="preserve"> November for Returning Adults</w:t>
            </w:r>
          </w:p>
          <w:p w:rsidR="00E36B05" w:rsidRDefault="00E36B05" w:rsidP="008D493F">
            <w:pPr>
              <w:rPr>
                <w:rFonts w:cs="Arial"/>
                <w:sz w:val="20"/>
                <w:szCs w:val="20"/>
              </w:rPr>
            </w:pPr>
            <w:r w:rsidRPr="00E36B05">
              <w:rPr>
                <w:rFonts w:cs="Arial"/>
                <w:sz w:val="20"/>
                <w:szCs w:val="20"/>
              </w:rPr>
              <w:t xml:space="preserve">The data from the </w:t>
            </w:r>
            <w:proofErr w:type="spellStart"/>
            <w:r w:rsidRPr="00E36B05">
              <w:rPr>
                <w:rFonts w:cs="Arial"/>
                <w:sz w:val="20"/>
                <w:szCs w:val="20"/>
              </w:rPr>
              <w:t>Panteg</w:t>
            </w:r>
            <w:proofErr w:type="spellEnd"/>
            <w:r w:rsidRPr="00E36B05">
              <w:rPr>
                <w:rFonts w:cs="Arial"/>
                <w:sz w:val="20"/>
                <w:szCs w:val="20"/>
              </w:rPr>
              <w:t xml:space="preserve"> trap indicate</w:t>
            </w:r>
            <w:r w:rsidR="00056ECA">
              <w:rPr>
                <w:rFonts w:cs="Arial"/>
                <w:sz w:val="20"/>
                <w:szCs w:val="20"/>
              </w:rPr>
              <w:t>s</w:t>
            </w:r>
            <w:r w:rsidRPr="00E36B05">
              <w:rPr>
                <w:rFonts w:cs="Arial"/>
                <w:sz w:val="20"/>
                <w:szCs w:val="20"/>
              </w:rPr>
              <w:t xml:space="preserve"> that </w:t>
            </w:r>
            <w:r>
              <w:rPr>
                <w:rFonts w:cs="Arial"/>
                <w:sz w:val="20"/>
                <w:szCs w:val="20"/>
              </w:rPr>
              <w:t>95%</w:t>
            </w:r>
            <w:r w:rsidRPr="00E36B05">
              <w:rPr>
                <w:rFonts w:cs="Arial"/>
                <w:sz w:val="20"/>
                <w:szCs w:val="20"/>
              </w:rPr>
              <w:t xml:space="preserve"> of adult sea trout were caught before the beginning of November</w:t>
            </w:r>
            <w:r>
              <w:rPr>
                <w:rFonts w:cs="Arial"/>
                <w:sz w:val="20"/>
                <w:szCs w:val="20"/>
              </w:rPr>
              <w:t>.</w:t>
            </w:r>
            <w:r w:rsidRPr="00E36B05">
              <w:rPr>
                <w:rFonts w:cs="Arial"/>
                <w:sz w:val="20"/>
                <w:szCs w:val="20"/>
              </w:rPr>
              <w:t xml:space="preserve">  </w:t>
            </w:r>
            <w:proofErr w:type="spellStart"/>
            <w:r>
              <w:rPr>
                <w:rFonts w:cs="Arial"/>
                <w:sz w:val="20"/>
                <w:szCs w:val="20"/>
              </w:rPr>
              <w:t>Cefas</w:t>
            </w:r>
            <w:proofErr w:type="spellEnd"/>
            <w:r>
              <w:rPr>
                <w:rFonts w:cs="Arial"/>
                <w:sz w:val="20"/>
                <w:szCs w:val="20"/>
              </w:rPr>
              <w:t xml:space="preserve"> advise that in view of the fact that fish exiting the lagoon would still have to be attracted into the river and negotiate the barrage and lower reaches before reaching </w:t>
            </w:r>
            <w:proofErr w:type="spellStart"/>
            <w:r>
              <w:rPr>
                <w:rFonts w:cs="Arial"/>
                <w:sz w:val="20"/>
                <w:szCs w:val="20"/>
              </w:rPr>
              <w:t>Panteg</w:t>
            </w:r>
            <w:proofErr w:type="spellEnd"/>
            <w:r>
              <w:rPr>
                <w:rFonts w:cs="Arial"/>
                <w:sz w:val="20"/>
                <w:szCs w:val="20"/>
              </w:rPr>
              <w:t xml:space="preserve"> Trap it is considered adult s</w:t>
            </w:r>
            <w:r w:rsidR="00056ECA">
              <w:rPr>
                <w:rFonts w:cs="Arial"/>
                <w:sz w:val="20"/>
                <w:szCs w:val="20"/>
              </w:rPr>
              <w:t xml:space="preserve">ea trout </w:t>
            </w:r>
            <w:r>
              <w:rPr>
                <w:rFonts w:cs="Arial"/>
                <w:sz w:val="20"/>
                <w:szCs w:val="20"/>
              </w:rPr>
              <w:t>would need to escape the lagoon no later than 1</w:t>
            </w:r>
            <w:r w:rsidRPr="00CD61C6">
              <w:rPr>
                <w:rFonts w:cs="Arial"/>
                <w:sz w:val="20"/>
                <w:szCs w:val="20"/>
                <w:vertAlign w:val="superscript"/>
              </w:rPr>
              <w:t>st</w:t>
            </w:r>
            <w:r>
              <w:rPr>
                <w:rFonts w:cs="Arial"/>
                <w:sz w:val="20"/>
                <w:szCs w:val="20"/>
              </w:rPr>
              <w:t xml:space="preserve"> November. Therefore, the applicants proposed cut-off date of 1</w:t>
            </w:r>
            <w:r w:rsidRPr="0006636A">
              <w:rPr>
                <w:rFonts w:cs="Arial"/>
                <w:sz w:val="20"/>
                <w:szCs w:val="20"/>
                <w:vertAlign w:val="superscript"/>
              </w:rPr>
              <w:t>st</w:t>
            </w:r>
            <w:r>
              <w:rPr>
                <w:rFonts w:cs="Arial"/>
                <w:sz w:val="20"/>
                <w:szCs w:val="20"/>
              </w:rPr>
              <w:t xml:space="preserve"> December is too late</w:t>
            </w:r>
            <w:r w:rsidR="00056ECA">
              <w:rPr>
                <w:rFonts w:cs="Arial"/>
                <w:sz w:val="20"/>
                <w:szCs w:val="20"/>
              </w:rPr>
              <w:t xml:space="preserve"> and the cut-off date should be set at 1</w:t>
            </w:r>
            <w:r w:rsidR="00056ECA" w:rsidRPr="00056ECA">
              <w:rPr>
                <w:rFonts w:cs="Arial"/>
                <w:sz w:val="20"/>
                <w:szCs w:val="20"/>
                <w:vertAlign w:val="superscript"/>
              </w:rPr>
              <w:t>st</w:t>
            </w:r>
            <w:r w:rsidR="00056ECA">
              <w:rPr>
                <w:rFonts w:cs="Arial"/>
                <w:sz w:val="20"/>
                <w:szCs w:val="20"/>
              </w:rPr>
              <w:t xml:space="preserve"> November. </w:t>
            </w:r>
          </w:p>
          <w:p w:rsidR="00D775A8" w:rsidRDefault="00D775A8" w:rsidP="008D493F">
            <w:pPr>
              <w:rPr>
                <w:rFonts w:cs="Arial"/>
                <w:sz w:val="20"/>
                <w:szCs w:val="20"/>
              </w:rPr>
            </w:pPr>
          </w:p>
          <w:p w:rsidR="00D775A8" w:rsidRDefault="00D775A8" w:rsidP="008D493F">
            <w:pPr>
              <w:rPr>
                <w:rFonts w:cs="Arial"/>
                <w:sz w:val="20"/>
                <w:szCs w:val="20"/>
                <w:u w:val="single"/>
              </w:rPr>
            </w:pPr>
            <w:proofErr w:type="spellStart"/>
            <w:r>
              <w:rPr>
                <w:rFonts w:cs="Arial"/>
                <w:sz w:val="20"/>
                <w:szCs w:val="20"/>
                <w:u w:val="single"/>
              </w:rPr>
              <w:t>Whitling</w:t>
            </w:r>
            <w:proofErr w:type="spellEnd"/>
            <w:r>
              <w:rPr>
                <w:rFonts w:cs="Arial"/>
                <w:sz w:val="20"/>
                <w:szCs w:val="20"/>
                <w:u w:val="single"/>
              </w:rPr>
              <w:t xml:space="preserve"> </w:t>
            </w:r>
            <w:proofErr w:type="spellStart"/>
            <w:r>
              <w:rPr>
                <w:rFonts w:cs="Arial"/>
                <w:sz w:val="20"/>
                <w:szCs w:val="20"/>
                <w:u w:val="single"/>
              </w:rPr>
              <w:t>Kelt</w:t>
            </w:r>
            <w:proofErr w:type="spellEnd"/>
            <w:r w:rsidR="00E36B05">
              <w:rPr>
                <w:rFonts w:cs="Arial"/>
                <w:sz w:val="20"/>
                <w:szCs w:val="20"/>
                <w:u w:val="single"/>
              </w:rPr>
              <w:t xml:space="preserve"> (0 Sea Winter)</w:t>
            </w:r>
          </w:p>
          <w:p w:rsidR="00E36B05" w:rsidRPr="00E36B05" w:rsidRDefault="00E36B05" w:rsidP="008D493F">
            <w:pPr>
              <w:rPr>
                <w:rFonts w:cs="Arial"/>
                <w:sz w:val="20"/>
                <w:szCs w:val="20"/>
              </w:rPr>
            </w:pPr>
            <w:r>
              <w:rPr>
                <w:rFonts w:cs="Arial"/>
                <w:sz w:val="20"/>
                <w:szCs w:val="20"/>
              </w:rPr>
              <w:t xml:space="preserve">NRW (TE) and </w:t>
            </w:r>
            <w:proofErr w:type="spellStart"/>
            <w:r>
              <w:rPr>
                <w:rFonts w:cs="Arial"/>
                <w:sz w:val="20"/>
                <w:szCs w:val="20"/>
              </w:rPr>
              <w:t>Cefas</w:t>
            </w:r>
            <w:proofErr w:type="spellEnd"/>
            <w:r>
              <w:rPr>
                <w:rFonts w:cs="Arial"/>
                <w:sz w:val="20"/>
                <w:szCs w:val="20"/>
              </w:rPr>
              <w:t xml:space="preserve"> advise that the Sea Trout life stage </w:t>
            </w:r>
            <w:proofErr w:type="spellStart"/>
            <w:r>
              <w:rPr>
                <w:rFonts w:cs="Arial"/>
                <w:sz w:val="20"/>
                <w:szCs w:val="20"/>
              </w:rPr>
              <w:t>Whitling</w:t>
            </w:r>
            <w:proofErr w:type="spellEnd"/>
            <w:r>
              <w:rPr>
                <w:rFonts w:cs="Arial"/>
                <w:sz w:val="20"/>
                <w:szCs w:val="20"/>
              </w:rPr>
              <w:t xml:space="preserve"> </w:t>
            </w:r>
            <w:proofErr w:type="spellStart"/>
            <w:r>
              <w:rPr>
                <w:rFonts w:cs="Arial"/>
                <w:sz w:val="20"/>
                <w:szCs w:val="20"/>
              </w:rPr>
              <w:t>Kelt</w:t>
            </w:r>
            <w:proofErr w:type="spellEnd"/>
            <w:r>
              <w:rPr>
                <w:rFonts w:cs="Arial"/>
                <w:sz w:val="20"/>
                <w:szCs w:val="20"/>
              </w:rPr>
              <w:t xml:space="preserve"> has not been included in the model noting that within the “survival and impacts calculations” worksheet the 0 Sea Winter fish is omitted for some age groups. This has been included within the </w:t>
            </w:r>
            <w:proofErr w:type="spellStart"/>
            <w:r>
              <w:rPr>
                <w:rFonts w:cs="Arial"/>
                <w:sz w:val="20"/>
                <w:szCs w:val="20"/>
              </w:rPr>
              <w:t>Cefas</w:t>
            </w:r>
            <w:proofErr w:type="spellEnd"/>
            <w:r>
              <w:rPr>
                <w:rFonts w:cs="Arial"/>
                <w:sz w:val="20"/>
                <w:szCs w:val="20"/>
              </w:rPr>
              <w:t xml:space="preserve"> model outputs. </w:t>
            </w:r>
          </w:p>
          <w:p w:rsidR="00D775A8" w:rsidRDefault="00D775A8" w:rsidP="008D493F">
            <w:pPr>
              <w:rPr>
                <w:rFonts w:cs="Arial"/>
                <w:sz w:val="20"/>
                <w:szCs w:val="20"/>
              </w:rPr>
            </w:pPr>
          </w:p>
          <w:p w:rsidR="00D775A8" w:rsidRPr="00D775A8" w:rsidRDefault="00D775A8" w:rsidP="008D493F">
            <w:pPr>
              <w:rPr>
                <w:rFonts w:cs="Arial"/>
                <w:i/>
                <w:sz w:val="20"/>
                <w:szCs w:val="20"/>
                <w:u w:val="single"/>
              </w:rPr>
            </w:pPr>
            <w:r w:rsidRPr="00D775A8">
              <w:rPr>
                <w:rFonts w:cs="Arial"/>
                <w:i/>
                <w:sz w:val="20"/>
                <w:szCs w:val="20"/>
                <w:u w:val="single"/>
              </w:rPr>
              <w:t>Parameter alteration not taken forward</w:t>
            </w:r>
            <w:r w:rsidR="00E20955">
              <w:rPr>
                <w:rFonts w:cs="Arial"/>
                <w:i/>
                <w:sz w:val="20"/>
                <w:szCs w:val="20"/>
                <w:u w:val="single"/>
              </w:rPr>
              <w:t xml:space="preserve"> due to lack of available evidence</w:t>
            </w:r>
            <w:r w:rsidRPr="00D775A8">
              <w:rPr>
                <w:rFonts w:cs="Arial"/>
                <w:i/>
                <w:sz w:val="20"/>
                <w:szCs w:val="20"/>
                <w:u w:val="single"/>
              </w:rPr>
              <w:t xml:space="preserve">: Retention Time </w:t>
            </w:r>
          </w:p>
          <w:p w:rsidR="00D775A8" w:rsidRDefault="00D775A8" w:rsidP="008D493F">
            <w:pPr>
              <w:rPr>
                <w:rFonts w:cs="Arial"/>
                <w:sz w:val="20"/>
                <w:szCs w:val="20"/>
              </w:rPr>
            </w:pPr>
          </w:p>
          <w:p w:rsidR="00E36B05" w:rsidRDefault="00E36B05" w:rsidP="008D493F">
            <w:pPr>
              <w:rPr>
                <w:rFonts w:cs="Arial"/>
                <w:sz w:val="20"/>
                <w:szCs w:val="20"/>
              </w:rPr>
            </w:pPr>
            <w:r>
              <w:rPr>
                <w:rFonts w:cs="Arial"/>
                <w:sz w:val="20"/>
                <w:szCs w:val="20"/>
              </w:rPr>
              <w:t>It is considered that there is a potential that S</w:t>
            </w:r>
            <w:r w:rsidR="00056ECA">
              <w:rPr>
                <w:rFonts w:cs="Arial"/>
                <w:sz w:val="20"/>
                <w:szCs w:val="20"/>
              </w:rPr>
              <w:t>ea Trout</w:t>
            </w:r>
            <w:r>
              <w:rPr>
                <w:rFonts w:cs="Arial"/>
                <w:sz w:val="20"/>
                <w:szCs w:val="20"/>
              </w:rPr>
              <w:t xml:space="preserve"> may be retain</w:t>
            </w:r>
            <w:r w:rsidR="00056ECA">
              <w:rPr>
                <w:rFonts w:cs="Arial"/>
                <w:sz w:val="20"/>
                <w:szCs w:val="20"/>
              </w:rPr>
              <w:t>ed</w:t>
            </w:r>
            <w:r>
              <w:rPr>
                <w:rFonts w:cs="Arial"/>
                <w:sz w:val="20"/>
                <w:szCs w:val="20"/>
              </w:rPr>
              <w:t xml:space="preserve"> in the lagoon for a period of time. </w:t>
            </w:r>
          </w:p>
          <w:p w:rsidR="00E36B05" w:rsidRDefault="00E36B05" w:rsidP="008D493F">
            <w:pPr>
              <w:rPr>
                <w:rFonts w:cs="Arial"/>
                <w:sz w:val="20"/>
                <w:szCs w:val="20"/>
              </w:rPr>
            </w:pPr>
          </w:p>
          <w:p w:rsidR="00E36B05" w:rsidRPr="004832BF" w:rsidRDefault="00E36B05" w:rsidP="008D493F">
            <w:pPr>
              <w:rPr>
                <w:rFonts w:cs="Arial"/>
                <w:sz w:val="20"/>
                <w:szCs w:val="20"/>
              </w:rPr>
            </w:pPr>
            <w:r>
              <w:rPr>
                <w:rFonts w:cs="Arial"/>
                <w:sz w:val="20"/>
                <w:szCs w:val="20"/>
              </w:rPr>
              <w:t>However</w:t>
            </w:r>
            <w:r w:rsidR="00056ECA">
              <w:rPr>
                <w:rFonts w:cs="Arial"/>
                <w:sz w:val="20"/>
                <w:szCs w:val="20"/>
              </w:rPr>
              <w:t xml:space="preserve">, </w:t>
            </w:r>
            <w:proofErr w:type="spellStart"/>
            <w:r>
              <w:rPr>
                <w:rFonts w:cs="Arial"/>
                <w:sz w:val="20"/>
                <w:szCs w:val="20"/>
              </w:rPr>
              <w:t>Cefas</w:t>
            </w:r>
            <w:proofErr w:type="spellEnd"/>
            <w:r>
              <w:rPr>
                <w:rFonts w:cs="Arial"/>
                <w:sz w:val="20"/>
                <w:szCs w:val="20"/>
              </w:rPr>
              <w:t xml:space="preserve"> advise that t</w:t>
            </w:r>
            <w:r w:rsidRPr="004832BF">
              <w:rPr>
                <w:rFonts w:cs="Arial"/>
                <w:sz w:val="20"/>
                <w:szCs w:val="20"/>
              </w:rPr>
              <w:t>here is insufficient information on the likely effects of retention in the lagoon to</w:t>
            </w:r>
            <w:r w:rsidR="00056ECA">
              <w:rPr>
                <w:rFonts w:cs="Arial"/>
                <w:sz w:val="20"/>
                <w:szCs w:val="20"/>
              </w:rPr>
              <w:t xml:space="preserve"> allow the NRW (Permitting Service) to </w:t>
            </w:r>
            <w:r w:rsidR="00056ECA" w:rsidRPr="004832BF">
              <w:rPr>
                <w:rFonts w:cs="Arial"/>
                <w:sz w:val="20"/>
                <w:szCs w:val="20"/>
              </w:rPr>
              <w:t>determine</w:t>
            </w:r>
            <w:r w:rsidRPr="004832BF">
              <w:rPr>
                <w:rFonts w:cs="Arial"/>
                <w:sz w:val="20"/>
                <w:szCs w:val="20"/>
              </w:rPr>
              <w:t xml:space="preserve"> whether </w:t>
            </w:r>
            <w:r w:rsidR="00056ECA">
              <w:rPr>
                <w:rFonts w:cs="Arial"/>
                <w:sz w:val="20"/>
                <w:szCs w:val="20"/>
              </w:rPr>
              <w:t>a maximum retention time (MRT</w:t>
            </w:r>
            <w:r w:rsidRPr="004832BF">
              <w:rPr>
                <w:rFonts w:cs="Arial"/>
                <w:sz w:val="20"/>
                <w:szCs w:val="20"/>
              </w:rPr>
              <w:t xml:space="preserve">) </w:t>
            </w:r>
            <w:r w:rsidR="00056ECA">
              <w:rPr>
                <w:rFonts w:cs="Arial"/>
                <w:sz w:val="20"/>
                <w:szCs w:val="20"/>
              </w:rPr>
              <w:t>should be applied</w:t>
            </w:r>
            <w:r w:rsidRPr="004832BF">
              <w:rPr>
                <w:rFonts w:cs="Arial"/>
                <w:sz w:val="20"/>
                <w:szCs w:val="20"/>
              </w:rPr>
              <w:t xml:space="preserve"> and, if so, what value to use.  There is some evidence (e.g. from studies of sea trout in the River Glaslyn and salmon tracking studies in SW England) that if fish are prevented from migrating for a period, they may be deterred from continuing their normal migratory behaviour, but there is currently no clear basis for setting a specific MRT for any life stage of salmon.  Inclusion of any MRT will increase the impact estimates, and the shorter the MRT the greater will be the increase.</w:t>
            </w:r>
          </w:p>
          <w:p w:rsidR="00E36B05" w:rsidRDefault="00E36B05" w:rsidP="008D493F">
            <w:pPr>
              <w:rPr>
                <w:rFonts w:cs="Arial"/>
                <w:sz w:val="20"/>
                <w:szCs w:val="20"/>
              </w:rPr>
            </w:pPr>
          </w:p>
          <w:p w:rsidR="00E36B05" w:rsidRDefault="00E36B05" w:rsidP="008D493F">
            <w:pPr>
              <w:rPr>
                <w:rFonts w:cs="Arial"/>
                <w:sz w:val="20"/>
                <w:szCs w:val="20"/>
              </w:rPr>
            </w:pPr>
            <w:proofErr w:type="spellStart"/>
            <w:r>
              <w:rPr>
                <w:rFonts w:cs="Arial"/>
                <w:sz w:val="20"/>
                <w:szCs w:val="20"/>
              </w:rPr>
              <w:t>Cefas</w:t>
            </w:r>
            <w:proofErr w:type="spellEnd"/>
            <w:r>
              <w:rPr>
                <w:rFonts w:cs="Arial"/>
                <w:sz w:val="20"/>
                <w:szCs w:val="20"/>
              </w:rPr>
              <w:t xml:space="preserve"> provided the results of sensitivity analysis in which if an arbitrary MRT is set at 5 days then the impact level would double.  </w:t>
            </w:r>
          </w:p>
          <w:p w:rsidR="00E36B05" w:rsidRDefault="00E36B05" w:rsidP="008D493F">
            <w:pPr>
              <w:rPr>
                <w:rFonts w:cs="Arial"/>
                <w:sz w:val="20"/>
                <w:szCs w:val="20"/>
              </w:rPr>
            </w:pPr>
          </w:p>
          <w:p w:rsidR="00E36B05" w:rsidRDefault="00E36B05" w:rsidP="008D493F">
            <w:pPr>
              <w:rPr>
                <w:rFonts w:cs="Arial"/>
                <w:sz w:val="20"/>
                <w:szCs w:val="20"/>
              </w:rPr>
            </w:pPr>
            <w:r>
              <w:rPr>
                <w:rFonts w:cs="Arial"/>
                <w:sz w:val="20"/>
                <w:szCs w:val="20"/>
              </w:rPr>
              <w:t xml:space="preserve">Given the lack of available evidence to set the MRT parameter </w:t>
            </w:r>
            <w:proofErr w:type="spellStart"/>
            <w:r>
              <w:rPr>
                <w:rFonts w:cs="Arial"/>
                <w:sz w:val="20"/>
                <w:szCs w:val="20"/>
              </w:rPr>
              <w:t>Cefas</w:t>
            </w:r>
            <w:proofErr w:type="spellEnd"/>
            <w:r>
              <w:rPr>
                <w:rFonts w:cs="Arial"/>
                <w:sz w:val="20"/>
                <w:szCs w:val="20"/>
              </w:rPr>
              <w:t xml:space="preserve"> highlight that they do not advise </w:t>
            </w:r>
            <w:r w:rsidRPr="004832BF">
              <w:rPr>
                <w:rFonts w:cs="Arial"/>
                <w:sz w:val="20"/>
                <w:szCs w:val="20"/>
              </w:rPr>
              <w:t xml:space="preserve">that the impact assessments should be doubled for sea trout.  </w:t>
            </w:r>
          </w:p>
          <w:p w:rsidR="00E36B05" w:rsidRDefault="00E36B05" w:rsidP="008D493F">
            <w:pPr>
              <w:rPr>
                <w:rFonts w:cs="Arial"/>
                <w:sz w:val="20"/>
                <w:szCs w:val="20"/>
              </w:rPr>
            </w:pPr>
          </w:p>
          <w:p w:rsidR="00056ECA" w:rsidRPr="004832BF" w:rsidRDefault="00056ECA" w:rsidP="008D493F">
            <w:pPr>
              <w:rPr>
                <w:rFonts w:cs="Arial"/>
                <w:sz w:val="20"/>
                <w:szCs w:val="20"/>
              </w:rPr>
            </w:pPr>
            <w:r>
              <w:rPr>
                <w:rFonts w:cs="Arial"/>
                <w:sz w:val="20"/>
                <w:szCs w:val="20"/>
              </w:rPr>
              <w:t xml:space="preserve">The NRW (Permitting Service) note the arbitrary nature of the 5 days provided in the </w:t>
            </w:r>
            <w:proofErr w:type="spellStart"/>
            <w:r>
              <w:rPr>
                <w:rFonts w:cs="Arial"/>
                <w:sz w:val="20"/>
                <w:szCs w:val="20"/>
              </w:rPr>
              <w:t>Cefas</w:t>
            </w:r>
            <w:proofErr w:type="spellEnd"/>
            <w:r>
              <w:rPr>
                <w:rFonts w:cs="Arial"/>
                <w:sz w:val="20"/>
                <w:szCs w:val="20"/>
              </w:rPr>
              <w:t xml:space="preserve"> sensitivity analysis and as such have not included MRT parameter in the impacts levels for determination. However this uncertainty is acknowledged and the NRW (Permitting Service) notes the impact levels are potentially higher that the 20 %.</w:t>
            </w:r>
          </w:p>
          <w:p w:rsidR="00D775A8" w:rsidRDefault="00D775A8" w:rsidP="008D493F">
            <w:pPr>
              <w:rPr>
                <w:rFonts w:cs="Arial"/>
                <w:sz w:val="20"/>
                <w:szCs w:val="20"/>
              </w:rPr>
            </w:pPr>
          </w:p>
        </w:tc>
        <w:tc>
          <w:tcPr>
            <w:tcW w:w="1843" w:type="dxa"/>
            <w:shd w:val="clear" w:color="auto" w:fill="auto"/>
          </w:tcPr>
          <w:p w:rsidR="00D775A8" w:rsidRPr="003C4B15" w:rsidRDefault="00D775A8" w:rsidP="008D493F">
            <w:pPr>
              <w:rPr>
                <w:rFonts w:cs="Arial"/>
                <w:sz w:val="20"/>
                <w:szCs w:val="20"/>
              </w:rPr>
            </w:pPr>
            <w:r>
              <w:rPr>
                <w:rFonts w:cs="Arial"/>
                <w:sz w:val="20"/>
                <w:szCs w:val="20"/>
              </w:rPr>
              <w:lastRenderedPageBreak/>
              <w:t>25.3%</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High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“Major adverse effect”</w:t>
            </w:r>
          </w:p>
          <w:p w:rsidR="00D775A8" w:rsidRPr="003C4B15" w:rsidRDefault="00D775A8" w:rsidP="008D493F">
            <w:pPr>
              <w:rPr>
                <w:rFonts w:cs="Arial"/>
                <w:sz w:val="20"/>
                <w:szCs w:val="20"/>
              </w:rPr>
            </w:pPr>
          </w:p>
        </w:tc>
        <w:tc>
          <w:tcPr>
            <w:tcW w:w="1984" w:type="dxa"/>
            <w:shd w:val="clear" w:color="auto" w:fill="auto"/>
          </w:tcPr>
          <w:p w:rsidR="00D775A8" w:rsidRDefault="00D775A8" w:rsidP="008D493F">
            <w:pPr>
              <w:rPr>
                <w:rFonts w:cs="Arial"/>
                <w:sz w:val="20"/>
                <w:szCs w:val="20"/>
              </w:rPr>
            </w:pPr>
            <w:r>
              <w:rPr>
                <w:rFonts w:cs="Arial"/>
                <w:sz w:val="20"/>
                <w:szCs w:val="20"/>
              </w:rPr>
              <w:t>Minimum of  25 %</w:t>
            </w:r>
          </w:p>
          <w:p w:rsidR="00D775A8" w:rsidRDefault="00D775A8" w:rsidP="008D493F">
            <w:pPr>
              <w:rPr>
                <w:rFonts w:cs="Arial"/>
                <w:sz w:val="20"/>
                <w:szCs w:val="20"/>
              </w:rPr>
            </w:pPr>
          </w:p>
          <w:p w:rsidR="00D775A8" w:rsidRDefault="00D775A8" w:rsidP="008D493F">
            <w:pPr>
              <w:rPr>
                <w:rFonts w:cs="Arial"/>
                <w:sz w:val="20"/>
                <w:szCs w:val="20"/>
              </w:rPr>
            </w:pPr>
          </w:p>
        </w:tc>
        <w:tc>
          <w:tcPr>
            <w:tcW w:w="2552" w:type="dxa"/>
            <w:shd w:val="clear" w:color="auto" w:fill="auto"/>
          </w:tcPr>
          <w:p w:rsidR="00D775A8" w:rsidRPr="003C4B15" w:rsidRDefault="00D775A8" w:rsidP="008D493F">
            <w:pPr>
              <w:rPr>
                <w:rFonts w:cs="Arial"/>
                <w:sz w:val="20"/>
                <w:szCs w:val="20"/>
              </w:rPr>
            </w:pPr>
            <w:r w:rsidRPr="003C4B15">
              <w:rPr>
                <w:rFonts w:cs="Arial"/>
                <w:sz w:val="20"/>
                <w:szCs w:val="20"/>
              </w:rPr>
              <w:t>High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“Major adverse effect”</w:t>
            </w:r>
          </w:p>
          <w:p w:rsidR="00D775A8" w:rsidRDefault="00D775A8" w:rsidP="008D493F">
            <w:pPr>
              <w:rPr>
                <w:rFonts w:cs="Arial"/>
                <w:sz w:val="20"/>
                <w:szCs w:val="20"/>
              </w:rPr>
            </w:pP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European Eel</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0.15</w:t>
            </w:r>
          </w:p>
        </w:tc>
        <w:tc>
          <w:tcPr>
            <w:tcW w:w="2268" w:type="dxa"/>
            <w:shd w:val="clear" w:color="auto" w:fill="auto"/>
          </w:tcPr>
          <w:p w:rsidR="00CF42C8" w:rsidRDefault="00D775A8" w:rsidP="008D493F">
            <w:pPr>
              <w:rPr>
                <w:rFonts w:cs="Arial"/>
                <w:sz w:val="20"/>
                <w:szCs w:val="20"/>
              </w:rPr>
            </w:pPr>
            <w:r w:rsidRPr="003C4B15">
              <w:rPr>
                <w:rFonts w:cs="Arial"/>
                <w:sz w:val="20"/>
                <w:szCs w:val="20"/>
              </w:rPr>
              <w:t xml:space="preserve">Negligible Turbine impact  </w:t>
            </w:r>
          </w:p>
          <w:p w:rsidR="00CF42C8" w:rsidRDefault="00CF42C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“Minor adverse effect”</w:t>
            </w:r>
          </w:p>
        </w:tc>
        <w:tc>
          <w:tcPr>
            <w:tcW w:w="6520" w:type="dxa"/>
            <w:shd w:val="clear" w:color="auto" w:fill="auto"/>
          </w:tcPr>
          <w:p w:rsidR="00D775A8" w:rsidRPr="00E36B05" w:rsidRDefault="00D775A8" w:rsidP="008D493F">
            <w:pPr>
              <w:rPr>
                <w:rFonts w:cs="Arial"/>
                <w:sz w:val="20"/>
                <w:szCs w:val="20"/>
              </w:rPr>
            </w:pPr>
            <w:r>
              <w:rPr>
                <w:rFonts w:cs="Arial"/>
                <w:sz w:val="20"/>
                <w:szCs w:val="20"/>
                <w:u w:val="single"/>
              </w:rPr>
              <w:t>Population Area</w:t>
            </w:r>
            <w:r w:rsidR="00E36B05">
              <w:rPr>
                <w:rFonts w:cs="Arial"/>
                <w:sz w:val="20"/>
                <w:szCs w:val="20"/>
                <w:u w:val="single"/>
              </w:rPr>
              <w:t xml:space="preserve">: </w:t>
            </w:r>
            <w:r w:rsidR="00E36B05">
              <w:rPr>
                <w:rFonts w:cs="Arial"/>
                <w:sz w:val="20"/>
                <w:szCs w:val="20"/>
              </w:rPr>
              <w:t>Western Wales River Basin District</w:t>
            </w:r>
          </w:p>
          <w:p w:rsidR="00CF42C8" w:rsidRDefault="00CF42C8" w:rsidP="008D493F">
            <w:pPr>
              <w:rPr>
                <w:rFonts w:cs="Arial"/>
                <w:sz w:val="20"/>
                <w:szCs w:val="20"/>
              </w:rPr>
            </w:pPr>
            <w:proofErr w:type="spellStart"/>
            <w:r>
              <w:rPr>
                <w:rFonts w:cs="Arial"/>
                <w:sz w:val="20"/>
                <w:szCs w:val="20"/>
              </w:rPr>
              <w:t>Cefas</w:t>
            </w:r>
            <w:proofErr w:type="spellEnd"/>
            <w:r>
              <w:rPr>
                <w:rFonts w:cs="Arial"/>
                <w:sz w:val="20"/>
                <w:szCs w:val="20"/>
              </w:rPr>
              <w:t xml:space="preserve"> and NRW (TE) </w:t>
            </w:r>
            <w:proofErr w:type="gramStart"/>
            <w:r>
              <w:rPr>
                <w:rFonts w:cs="Arial"/>
                <w:sz w:val="20"/>
                <w:szCs w:val="20"/>
              </w:rPr>
              <w:t>advise</w:t>
            </w:r>
            <w:proofErr w:type="gramEnd"/>
            <w:r>
              <w:rPr>
                <w:rFonts w:cs="Arial"/>
                <w:sz w:val="20"/>
                <w:szCs w:val="20"/>
              </w:rPr>
              <w:t xml:space="preserve"> that in accordance with the </w:t>
            </w:r>
            <w:r w:rsidR="00E36B05">
              <w:rPr>
                <w:rFonts w:cs="Arial"/>
                <w:sz w:val="20"/>
                <w:szCs w:val="20"/>
              </w:rPr>
              <w:t xml:space="preserve">Eels (England and Wales) Regulation 2009 </w:t>
            </w:r>
            <w:r>
              <w:rPr>
                <w:rFonts w:cs="Arial"/>
                <w:sz w:val="20"/>
                <w:szCs w:val="20"/>
              </w:rPr>
              <w:t xml:space="preserve">the Management Units for which stock assessment </w:t>
            </w:r>
            <w:r w:rsidR="00056ECA">
              <w:rPr>
                <w:rFonts w:cs="Arial"/>
                <w:sz w:val="20"/>
                <w:szCs w:val="20"/>
              </w:rPr>
              <w:t xml:space="preserve">should be </w:t>
            </w:r>
            <w:r>
              <w:rPr>
                <w:rFonts w:cs="Arial"/>
                <w:sz w:val="20"/>
                <w:szCs w:val="20"/>
              </w:rPr>
              <w:t xml:space="preserve">conducted are River Basin District and that anthropogenic impacts </w:t>
            </w:r>
            <w:r w:rsidR="00056ECA">
              <w:rPr>
                <w:rFonts w:cs="Arial"/>
                <w:sz w:val="20"/>
                <w:szCs w:val="20"/>
              </w:rPr>
              <w:t xml:space="preserve">should be </w:t>
            </w:r>
            <w:r>
              <w:rPr>
                <w:rFonts w:cs="Arial"/>
                <w:sz w:val="20"/>
                <w:szCs w:val="20"/>
              </w:rPr>
              <w:t>assessed in these units. It is therefore appropriate that the relevant River Basin District the Western Wales River Basin District</w:t>
            </w:r>
            <w:r w:rsidR="00056ECA">
              <w:rPr>
                <w:rFonts w:cs="Arial"/>
                <w:sz w:val="20"/>
                <w:szCs w:val="20"/>
              </w:rPr>
              <w:t xml:space="preserve"> is</w:t>
            </w:r>
            <w:r>
              <w:rPr>
                <w:rFonts w:cs="Arial"/>
                <w:sz w:val="20"/>
                <w:szCs w:val="20"/>
              </w:rPr>
              <w:t xml:space="preserve"> utilised as the population area for all life stages of eel. </w:t>
            </w:r>
          </w:p>
          <w:p w:rsidR="00CF42C8" w:rsidRDefault="00CF42C8" w:rsidP="008D493F">
            <w:pPr>
              <w:rPr>
                <w:rFonts w:cs="Arial"/>
                <w:sz w:val="20"/>
                <w:szCs w:val="20"/>
              </w:rPr>
            </w:pPr>
          </w:p>
          <w:p w:rsidR="00AC3F43" w:rsidRDefault="00D775A8" w:rsidP="008D493F">
            <w:pPr>
              <w:rPr>
                <w:rFonts w:cs="Arial"/>
                <w:sz w:val="20"/>
                <w:szCs w:val="20"/>
              </w:rPr>
            </w:pPr>
            <w:r>
              <w:rPr>
                <w:rFonts w:cs="Arial"/>
                <w:sz w:val="20"/>
                <w:szCs w:val="20"/>
                <w:u w:val="single"/>
              </w:rPr>
              <w:t>Diurnal Behaviour</w:t>
            </w:r>
            <w:r w:rsidR="00761F79">
              <w:rPr>
                <w:rFonts w:cs="Arial"/>
                <w:sz w:val="20"/>
                <w:szCs w:val="20"/>
                <w:u w:val="single"/>
              </w:rPr>
              <w:t xml:space="preserve"> factor</w:t>
            </w:r>
            <w:r w:rsidR="00AC3F43">
              <w:rPr>
                <w:rFonts w:cs="Arial"/>
                <w:sz w:val="20"/>
                <w:szCs w:val="20"/>
                <w:u w:val="single"/>
              </w:rPr>
              <w:t xml:space="preserve">: </w:t>
            </w:r>
            <w:r w:rsidR="00AC3F43">
              <w:rPr>
                <w:rFonts w:cs="Arial"/>
                <w:sz w:val="20"/>
                <w:szCs w:val="20"/>
              </w:rPr>
              <w:t xml:space="preserve">Alteration of the correction for diurnal behaviour to allow assessment for the 15% of the population to be active in the day </w:t>
            </w:r>
          </w:p>
          <w:p w:rsidR="00AC3F43" w:rsidRDefault="00AC3F43" w:rsidP="008D493F">
            <w:pPr>
              <w:rPr>
                <w:rFonts w:cs="Arial"/>
                <w:sz w:val="20"/>
                <w:szCs w:val="20"/>
              </w:rPr>
            </w:pPr>
          </w:p>
          <w:p w:rsidR="00AC3F43" w:rsidRDefault="00AC3F43" w:rsidP="008D493F">
            <w:pPr>
              <w:rPr>
                <w:rFonts w:cs="Arial"/>
                <w:sz w:val="20"/>
                <w:szCs w:val="20"/>
              </w:rPr>
            </w:pPr>
            <w:proofErr w:type="spellStart"/>
            <w:r>
              <w:rPr>
                <w:rFonts w:cs="Arial"/>
                <w:sz w:val="20"/>
                <w:szCs w:val="20"/>
              </w:rPr>
              <w:t>Cefas</w:t>
            </w:r>
            <w:proofErr w:type="spellEnd"/>
            <w:r>
              <w:rPr>
                <w:rFonts w:cs="Arial"/>
                <w:sz w:val="20"/>
                <w:szCs w:val="20"/>
              </w:rPr>
              <w:t xml:space="preserve"> advise that there is evidence that eel do exhibit diurnal behaviour in freshwater and estuaries being less active during the day than at night</w:t>
            </w:r>
            <w:r w:rsidR="00056ECA">
              <w:rPr>
                <w:rFonts w:cs="Arial"/>
                <w:sz w:val="20"/>
                <w:szCs w:val="20"/>
              </w:rPr>
              <w:t>, and whilst</w:t>
            </w:r>
            <w:r>
              <w:rPr>
                <w:rFonts w:cs="Arial"/>
                <w:sz w:val="20"/>
                <w:szCs w:val="20"/>
              </w:rPr>
              <w:t xml:space="preserve"> there is less information available on the behaviour of eel at sea it is believed that marine fisheries catch eel at night. While </w:t>
            </w:r>
            <w:proofErr w:type="spellStart"/>
            <w:r>
              <w:rPr>
                <w:rFonts w:cs="Arial"/>
                <w:sz w:val="20"/>
                <w:szCs w:val="20"/>
              </w:rPr>
              <w:t>Cefas</w:t>
            </w:r>
            <w:proofErr w:type="spellEnd"/>
            <w:r>
              <w:rPr>
                <w:rFonts w:cs="Arial"/>
                <w:sz w:val="20"/>
                <w:szCs w:val="20"/>
              </w:rPr>
              <w:t xml:space="preserve"> advise that it is appropriate to apply a correction factor to take account of diurnal behaviour tracking studies </w:t>
            </w:r>
            <w:r w:rsidR="00056ECA">
              <w:rPr>
                <w:rFonts w:cs="Arial"/>
                <w:sz w:val="20"/>
                <w:szCs w:val="20"/>
              </w:rPr>
              <w:t>which show</w:t>
            </w:r>
            <w:r>
              <w:rPr>
                <w:rFonts w:cs="Arial"/>
                <w:sz w:val="20"/>
                <w:szCs w:val="20"/>
              </w:rPr>
              <w:t xml:space="preserve"> that eel are not totally inactive during the day with 10-20% of movements occurring in daylight (e.g. Walker </w:t>
            </w:r>
            <w:r>
              <w:rPr>
                <w:rFonts w:cs="Arial"/>
                <w:i/>
                <w:sz w:val="20"/>
                <w:szCs w:val="20"/>
              </w:rPr>
              <w:t xml:space="preserve">et al. </w:t>
            </w:r>
            <w:r>
              <w:rPr>
                <w:rFonts w:cs="Arial"/>
                <w:sz w:val="20"/>
                <w:szCs w:val="20"/>
              </w:rPr>
              <w:t xml:space="preserve">2013). Therefore the diurnal correction factor has been adjusted to take into account 15% of day time activity. </w:t>
            </w:r>
          </w:p>
          <w:p w:rsidR="00AC3F43" w:rsidRPr="00AC3F43" w:rsidRDefault="00AC3F43" w:rsidP="008D493F">
            <w:pPr>
              <w:rPr>
                <w:rFonts w:cs="Arial"/>
                <w:sz w:val="20"/>
                <w:szCs w:val="20"/>
              </w:rPr>
            </w:pPr>
          </w:p>
          <w:p w:rsidR="00D775A8" w:rsidRDefault="00D775A8" w:rsidP="008D493F">
            <w:pPr>
              <w:rPr>
                <w:rFonts w:cs="Arial"/>
                <w:sz w:val="20"/>
                <w:szCs w:val="20"/>
              </w:rPr>
            </w:pPr>
          </w:p>
        </w:tc>
        <w:tc>
          <w:tcPr>
            <w:tcW w:w="1843" w:type="dxa"/>
            <w:shd w:val="clear" w:color="auto" w:fill="auto"/>
          </w:tcPr>
          <w:p w:rsidR="00D775A8" w:rsidRPr="003C4B15" w:rsidRDefault="00D775A8" w:rsidP="008D493F">
            <w:pPr>
              <w:rPr>
                <w:rFonts w:cs="Arial"/>
                <w:sz w:val="20"/>
                <w:szCs w:val="20"/>
              </w:rPr>
            </w:pPr>
            <w:r>
              <w:rPr>
                <w:rFonts w:cs="Arial"/>
                <w:sz w:val="20"/>
                <w:szCs w:val="20"/>
              </w:rPr>
              <w:t>5.5%</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Medium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“Major Adverse effect “</w:t>
            </w:r>
          </w:p>
        </w:tc>
        <w:tc>
          <w:tcPr>
            <w:tcW w:w="1984" w:type="dxa"/>
            <w:shd w:val="clear" w:color="auto" w:fill="auto"/>
          </w:tcPr>
          <w:p w:rsidR="00D775A8" w:rsidRDefault="00D775A8" w:rsidP="008D493F">
            <w:pPr>
              <w:rPr>
                <w:rFonts w:cs="Arial"/>
                <w:sz w:val="20"/>
                <w:szCs w:val="20"/>
              </w:rPr>
            </w:pPr>
            <w:r>
              <w:rPr>
                <w:rFonts w:cs="Arial"/>
                <w:sz w:val="20"/>
                <w:szCs w:val="20"/>
              </w:rPr>
              <w:t>Approximately 6%</w:t>
            </w:r>
          </w:p>
        </w:tc>
        <w:tc>
          <w:tcPr>
            <w:tcW w:w="2552" w:type="dxa"/>
            <w:shd w:val="clear" w:color="auto" w:fill="auto"/>
          </w:tcPr>
          <w:p w:rsidR="00D775A8" w:rsidRDefault="00D775A8" w:rsidP="008D493F">
            <w:pPr>
              <w:rPr>
                <w:rFonts w:cs="Arial"/>
                <w:sz w:val="20"/>
                <w:szCs w:val="20"/>
              </w:rPr>
            </w:pPr>
            <w:r>
              <w:rPr>
                <w:rFonts w:cs="Arial"/>
                <w:sz w:val="20"/>
                <w:szCs w:val="20"/>
              </w:rPr>
              <w:t>Medium Turbine Impact</w:t>
            </w:r>
          </w:p>
          <w:p w:rsidR="00D775A8" w:rsidRDefault="00D775A8" w:rsidP="008D493F">
            <w:pPr>
              <w:rPr>
                <w:rFonts w:cs="Arial"/>
                <w:sz w:val="20"/>
                <w:szCs w:val="20"/>
              </w:rPr>
            </w:pPr>
          </w:p>
          <w:p w:rsidR="00D775A8" w:rsidRDefault="00D775A8" w:rsidP="008D493F">
            <w:pPr>
              <w:rPr>
                <w:rFonts w:cs="Arial"/>
                <w:sz w:val="20"/>
                <w:szCs w:val="20"/>
              </w:rPr>
            </w:pPr>
            <w:r>
              <w:rPr>
                <w:rFonts w:cs="Arial"/>
                <w:sz w:val="20"/>
                <w:szCs w:val="20"/>
              </w:rPr>
              <w:t xml:space="preserve">“Major Adverse effect” </w:t>
            </w: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 xml:space="preserve">Shad (Allis and </w:t>
            </w:r>
            <w:proofErr w:type="spellStart"/>
            <w:r w:rsidRPr="003C4B15">
              <w:rPr>
                <w:rFonts w:cs="Arial"/>
                <w:sz w:val="20"/>
                <w:szCs w:val="20"/>
              </w:rPr>
              <w:t>Twaite</w:t>
            </w:r>
            <w:proofErr w:type="spellEnd"/>
            <w:r w:rsidRPr="003C4B15">
              <w:rPr>
                <w:rFonts w:cs="Arial"/>
                <w:sz w:val="20"/>
                <w:szCs w:val="20"/>
              </w:rPr>
              <w:t xml:space="preserve">) </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1.57</w:t>
            </w:r>
          </w:p>
        </w:tc>
        <w:tc>
          <w:tcPr>
            <w:tcW w:w="2268" w:type="dxa"/>
            <w:shd w:val="clear" w:color="auto" w:fill="auto"/>
          </w:tcPr>
          <w:p w:rsidR="00D775A8" w:rsidRPr="003C4B15" w:rsidRDefault="00D775A8" w:rsidP="008D493F">
            <w:pPr>
              <w:rPr>
                <w:rFonts w:cs="Arial"/>
                <w:sz w:val="20"/>
                <w:szCs w:val="20"/>
              </w:rPr>
            </w:pPr>
            <w:r w:rsidRPr="003C4B15">
              <w:rPr>
                <w:rFonts w:cs="Arial"/>
                <w:sz w:val="20"/>
                <w:szCs w:val="20"/>
              </w:rPr>
              <w:t>Low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“Moderate adverse effect “</w:t>
            </w:r>
          </w:p>
        </w:tc>
        <w:tc>
          <w:tcPr>
            <w:tcW w:w="6520" w:type="dxa"/>
            <w:shd w:val="clear" w:color="auto" w:fill="auto"/>
          </w:tcPr>
          <w:p w:rsidR="00D775A8" w:rsidRPr="00D775A8" w:rsidRDefault="00D775A8" w:rsidP="008D493F">
            <w:pPr>
              <w:rPr>
                <w:rFonts w:cs="Arial"/>
                <w:sz w:val="20"/>
                <w:szCs w:val="20"/>
                <w:u w:val="single"/>
              </w:rPr>
            </w:pPr>
            <w:r>
              <w:rPr>
                <w:rFonts w:cs="Arial"/>
                <w:sz w:val="20"/>
                <w:szCs w:val="20"/>
                <w:u w:val="single"/>
              </w:rPr>
              <w:t>Diurnal Behaviour</w:t>
            </w:r>
            <w:r w:rsidR="00761F79">
              <w:rPr>
                <w:rFonts w:cs="Arial"/>
                <w:sz w:val="20"/>
                <w:szCs w:val="20"/>
                <w:u w:val="single"/>
              </w:rPr>
              <w:t xml:space="preserve"> factor :</w:t>
            </w:r>
            <w:r w:rsidR="00761F79" w:rsidRPr="00F33665">
              <w:rPr>
                <w:rFonts w:cs="Arial"/>
                <w:sz w:val="20"/>
                <w:szCs w:val="20"/>
              </w:rPr>
              <w:t xml:space="preserve"> Removed</w:t>
            </w:r>
          </w:p>
          <w:p w:rsidR="00D775A8" w:rsidRDefault="00D775A8" w:rsidP="008D493F">
            <w:pPr>
              <w:rPr>
                <w:rFonts w:cs="Arial"/>
                <w:sz w:val="20"/>
                <w:szCs w:val="20"/>
              </w:rPr>
            </w:pPr>
          </w:p>
          <w:p w:rsidR="00AC3F43" w:rsidRDefault="00AC3F43" w:rsidP="008D493F">
            <w:pPr>
              <w:rPr>
                <w:rFonts w:cs="Arial"/>
                <w:sz w:val="20"/>
                <w:szCs w:val="20"/>
              </w:rPr>
            </w:pPr>
            <w:r w:rsidRPr="00AC3F43">
              <w:rPr>
                <w:rFonts w:cs="Arial"/>
                <w:sz w:val="20"/>
                <w:szCs w:val="20"/>
              </w:rPr>
              <w:t xml:space="preserve">In the encounter models, </w:t>
            </w:r>
            <w:r w:rsidR="00186FB1">
              <w:rPr>
                <w:rFonts w:cs="Arial"/>
                <w:sz w:val="20"/>
                <w:szCs w:val="20"/>
              </w:rPr>
              <w:t>the applicant</w:t>
            </w:r>
            <w:r w:rsidRPr="00AC3F43">
              <w:rPr>
                <w:rFonts w:cs="Arial"/>
                <w:sz w:val="20"/>
                <w:szCs w:val="20"/>
              </w:rPr>
              <w:t xml:space="preserve"> has assumed that shad are only active during the day and they have therefore applied a correction factor of 0.5093 to the impact estimate for the resident stage. </w:t>
            </w:r>
          </w:p>
          <w:p w:rsidR="00AC3F43" w:rsidRDefault="00AC3F43" w:rsidP="008D493F">
            <w:pPr>
              <w:rPr>
                <w:rFonts w:cs="Arial"/>
                <w:sz w:val="20"/>
                <w:szCs w:val="20"/>
              </w:rPr>
            </w:pPr>
          </w:p>
          <w:p w:rsidR="00AC3F43" w:rsidRDefault="00AC3F43" w:rsidP="008D493F">
            <w:pPr>
              <w:rPr>
                <w:rFonts w:cs="Arial"/>
                <w:sz w:val="20"/>
                <w:szCs w:val="20"/>
              </w:rPr>
            </w:pPr>
            <w:r w:rsidRPr="00AC3F43">
              <w:rPr>
                <w:rFonts w:cs="Arial"/>
                <w:sz w:val="20"/>
                <w:szCs w:val="20"/>
              </w:rPr>
              <w:t>However, the Fish Species Datasheet for shad indicates that the diurnal behaviour relates to migration through estuaries and does not provide evidence of diurnal behaviour in the sea.</w:t>
            </w:r>
            <w:r>
              <w:rPr>
                <w:rFonts w:cs="Arial"/>
                <w:sz w:val="20"/>
                <w:szCs w:val="20"/>
              </w:rPr>
              <w:t xml:space="preserve"> </w:t>
            </w:r>
          </w:p>
          <w:p w:rsidR="00AC3F43" w:rsidRDefault="00AC3F43" w:rsidP="008D493F">
            <w:pPr>
              <w:rPr>
                <w:rFonts w:cs="Arial"/>
                <w:sz w:val="20"/>
                <w:szCs w:val="20"/>
              </w:rPr>
            </w:pPr>
          </w:p>
          <w:p w:rsidR="00761F79" w:rsidRDefault="00F33665" w:rsidP="008D493F">
            <w:pPr>
              <w:rPr>
                <w:color w:val="1F497D"/>
              </w:rPr>
            </w:pPr>
            <w:r>
              <w:rPr>
                <w:rFonts w:cs="Arial"/>
                <w:sz w:val="20"/>
                <w:szCs w:val="20"/>
              </w:rPr>
              <w:t xml:space="preserve">On the basis of </w:t>
            </w:r>
            <w:r w:rsidR="00AC3F43">
              <w:rPr>
                <w:rFonts w:cs="Arial"/>
                <w:sz w:val="20"/>
                <w:szCs w:val="20"/>
              </w:rPr>
              <w:t xml:space="preserve">no evidence provided to support </w:t>
            </w:r>
            <w:r w:rsidR="00E21CE0">
              <w:rPr>
                <w:rFonts w:cs="Arial"/>
                <w:sz w:val="20"/>
                <w:szCs w:val="20"/>
              </w:rPr>
              <w:t>that</w:t>
            </w:r>
            <w:r w:rsidR="00761F79">
              <w:rPr>
                <w:rFonts w:cs="Arial"/>
                <w:sz w:val="20"/>
                <w:szCs w:val="20"/>
              </w:rPr>
              <w:t xml:space="preserve"> shad are only active in the day the correction factor for diurnal behaviour has been removed in the </w:t>
            </w:r>
            <w:proofErr w:type="spellStart"/>
            <w:r w:rsidR="00761F79">
              <w:rPr>
                <w:rFonts w:cs="Arial"/>
                <w:sz w:val="20"/>
                <w:szCs w:val="20"/>
              </w:rPr>
              <w:t>Cefas</w:t>
            </w:r>
            <w:proofErr w:type="spellEnd"/>
            <w:r w:rsidR="00761F79">
              <w:rPr>
                <w:rFonts w:cs="Arial"/>
                <w:sz w:val="20"/>
                <w:szCs w:val="20"/>
              </w:rPr>
              <w:t xml:space="preserve"> ADZ model outputs. </w:t>
            </w:r>
            <w:r w:rsidR="00761F79">
              <w:rPr>
                <w:color w:val="1F497D"/>
              </w:rPr>
              <w:t xml:space="preserve"> </w:t>
            </w:r>
          </w:p>
          <w:p w:rsidR="00D775A8" w:rsidRDefault="00D775A8" w:rsidP="008D493F">
            <w:pPr>
              <w:rPr>
                <w:rFonts w:cs="Arial"/>
                <w:sz w:val="20"/>
                <w:szCs w:val="20"/>
              </w:rPr>
            </w:pPr>
          </w:p>
          <w:p w:rsidR="00D775A8" w:rsidRDefault="00D775A8" w:rsidP="008D493F">
            <w:pPr>
              <w:rPr>
                <w:rFonts w:cs="Arial"/>
                <w:sz w:val="20"/>
                <w:szCs w:val="20"/>
              </w:rPr>
            </w:pPr>
          </w:p>
          <w:p w:rsidR="00E20955" w:rsidRPr="00E21CE0" w:rsidRDefault="00E20955" w:rsidP="008D493F">
            <w:pPr>
              <w:rPr>
                <w:rFonts w:cs="Arial"/>
                <w:i/>
                <w:sz w:val="20"/>
                <w:szCs w:val="20"/>
                <w:u w:val="single"/>
              </w:rPr>
            </w:pPr>
            <w:r w:rsidRPr="00E21CE0">
              <w:rPr>
                <w:rFonts w:cs="Arial"/>
                <w:i/>
                <w:sz w:val="20"/>
                <w:szCs w:val="20"/>
                <w:u w:val="single"/>
              </w:rPr>
              <w:t>Parameter not altered due to lack of evidence/data</w:t>
            </w:r>
          </w:p>
          <w:p w:rsidR="00D775A8" w:rsidRDefault="00576949" w:rsidP="008D493F">
            <w:pPr>
              <w:rPr>
                <w:rFonts w:cs="Arial"/>
                <w:sz w:val="20"/>
                <w:szCs w:val="20"/>
              </w:rPr>
            </w:pPr>
            <w:r>
              <w:rPr>
                <w:rFonts w:cs="Arial"/>
                <w:sz w:val="20"/>
                <w:szCs w:val="20"/>
              </w:rPr>
              <w:t xml:space="preserve">The applicants submitted Alternative Fish Impact Assessment Results (Table 6.7) indicate that the age structure of </w:t>
            </w:r>
            <w:proofErr w:type="spellStart"/>
            <w:r>
              <w:rPr>
                <w:rFonts w:cs="Arial"/>
                <w:sz w:val="20"/>
                <w:szCs w:val="20"/>
              </w:rPr>
              <w:t>Twaite</w:t>
            </w:r>
            <w:proofErr w:type="spellEnd"/>
            <w:r>
              <w:rPr>
                <w:rFonts w:cs="Arial"/>
                <w:sz w:val="20"/>
                <w:szCs w:val="20"/>
              </w:rPr>
              <w:t xml:space="preserve"> Shad is estimated by providing an annual mortality of 0.67. However elsewhere in the submitted documentation the applicant states that shad have a maximum age of at least 10 years. This maximum age has not been taken account of in the </w:t>
            </w:r>
            <w:r w:rsidR="00F33665">
              <w:rPr>
                <w:rFonts w:cs="Arial"/>
                <w:sz w:val="20"/>
                <w:szCs w:val="20"/>
              </w:rPr>
              <w:t>applicants’</w:t>
            </w:r>
            <w:r>
              <w:rPr>
                <w:rFonts w:cs="Arial"/>
                <w:sz w:val="20"/>
                <w:szCs w:val="20"/>
              </w:rPr>
              <w:t xml:space="preserve"> model outputs.</w:t>
            </w:r>
          </w:p>
          <w:p w:rsidR="00576949" w:rsidRDefault="00576949" w:rsidP="008D493F">
            <w:pPr>
              <w:rPr>
                <w:rFonts w:cs="Arial"/>
                <w:sz w:val="20"/>
                <w:szCs w:val="20"/>
              </w:rPr>
            </w:pPr>
          </w:p>
          <w:p w:rsidR="00576949" w:rsidRDefault="00576949" w:rsidP="008D493F">
            <w:pPr>
              <w:rPr>
                <w:rFonts w:cs="Arial"/>
                <w:sz w:val="20"/>
                <w:szCs w:val="20"/>
              </w:rPr>
            </w:pPr>
            <w:r>
              <w:rPr>
                <w:rFonts w:cs="Arial"/>
                <w:sz w:val="20"/>
                <w:szCs w:val="20"/>
              </w:rPr>
              <w:t>Based on the</w:t>
            </w:r>
            <w:r w:rsidR="00E21CE0">
              <w:rPr>
                <w:rFonts w:cs="Arial"/>
                <w:sz w:val="20"/>
                <w:szCs w:val="20"/>
              </w:rPr>
              <w:t xml:space="preserve"> immediately</w:t>
            </w:r>
            <w:r>
              <w:rPr>
                <w:rFonts w:cs="Arial"/>
                <w:sz w:val="20"/>
                <w:szCs w:val="20"/>
              </w:rPr>
              <w:t xml:space="preserve"> available data </w:t>
            </w:r>
            <w:proofErr w:type="spellStart"/>
            <w:r>
              <w:rPr>
                <w:rFonts w:cs="Arial"/>
                <w:sz w:val="20"/>
                <w:szCs w:val="20"/>
              </w:rPr>
              <w:t>Cefas</w:t>
            </w:r>
            <w:proofErr w:type="spellEnd"/>
            <w:r>
              <w:rPr>
                <w:rFonts w:cs="Arial"/>
                <w:sz w:val="20"/>
                <w:szCs w:val="20"/>
              </w:rPr>
              <w:t xml:space="preserve"> advise that it is not possible </w:t>
            </w:r>
            <w:r w:rsidR="00E21CE0">
              <w:rPr>
                <w:rFonts w:cs="Arial"/>
                <w:sz w:val="20"/>
                <w:szCs w:val="20"/>
              </w:rPr>
              <w:t xml:space="preserve">to conduct a full assessment based upon a maximum age of 10 years upon the age structure of shad and the STRIKER mortality rates for the age classes (sizes) passing through the turbines. </w:t>
            </w:r>
          </w:p>
          <w:p w:rsidR="00E21CE0" w:rsidRDefault="00E21CE0" w:rsidP="008D493F">
            <w:pPr>
              <w:rPr>
                <w:rFonts w:cs="Arial"/>
                <w:sz w:val="20"/>
                <w:szCs w:val="20"/>
              </w:rPr>
            </w:pPr>
          </w:p>
          <w:p w:rsidR="00E21CE0" w:rsidRDefault="00E21CE0" w:rsidP="008D493F">
            <w:pPr>
              <w:rPr>
                <w:rFonts w:cs="Arial"/>
                <w:sz w:val="20"/>
                <w:szCs w:val="20"/>
              </w:rPr>
            </w:pPr>
            <w:r>
              <w:rPr>
                <w:rFonts w:cs="Arial"/>
                <w:sz w:val="20"/>
                <w:szCs w:val="20"/>
              </w:rPr>
              <w:t>Given the availability of data this has not been investigated further. The NRW (Permitting Service) acknowledge the further uncertainty associated with t</w:t>
            </w:r>
            <w:r w:rsidR="00283D43">
              <w:rPr>
                <w:rFonts w:cs="Arial"/>
                <w:sz w:val="20"/>
                <w:szCs w:val="20"/>
              </w:rPr>
              <w:t>he chosen model output figures.</w:t>
            </w:r>
          </w:p>
          <w:p w:rsidR="00576949" w:rsidRDefault="00576949" w:rsidP="008D493F">
            <w:pPr>
              <w:rPr>
                <w:rFonts w:cs="Arial"/>
                <w:sz w:val="20"/>
                <w:szCs w:val="20"/>
              </w:rPr>
            </w:pPr>
          </w:p>
        </w:tc>
        <w:tc>
          <w:tcPr>
            <w:tcW w:w="1843" w:type="dxa"/>
            <w:shd w:val="clear" w:color="auto" w:fill="auto"/>
          </w:tcPr>
          <w:p w:rsidR="00D775A8" w:rsidRPr="003C4B15" w:rsidRDefault="00D775A8" w:rsidP="008D493F">
            <w:pPr>
              <w:rPr>
                <w:rFonts w:cs="Arial"/>
                <w:sz w:val="20"/>
                <w:szCs w:val="20"/>
              </w:rPr>
            </w:pPr>
            <w:r>
              <w:rPr>
                <w:rFonts w:cs="Arial"/>
                <w:sz w:val="20"/>
                <w:szCs w:val="20"/>
              </w:rPr>
              <w:lastRenderedPageBreak/>
              <w:t>2-4%</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Medium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“Major Adverse effect “</w:t>
            </w:r>
          </w:p>
        </w:tc>
        <w:tc>
          <w:tcPr>
            <w:tcW w:w="1984" w:type="dxa"/>
            <w:shd w:val="clear" w:color="auto" w:fill="auto"/>
          </w:tcPr>
          <w:p w:rsidR="00D775A8" w:rsidRDefault="00D775A8" w:rsidP="008D493F">
            <w:pPr>
              <w:rPr>
                <w:rFonts w:cs="Arial"/>
                <w:sz w:val="20"/>
                <w:szCs w:val="20"/>
              </w:rPr>
            </w:pPr>
            <w:r>
              <w:rPr>
                <w:rFonts w:cs="Arial"/>
                <w:sz w:val="20"/>
                <w:szCs w:val="20"/>
              </w:rPr>
              <w:t xml:space="preserve">2-4  % </w:t>
            </w:r>
          </w:p>
          <w:p w:rsidR="00D775A8" w:rsidRDefault="00D775A8" w:rsidP="008D493F">
            <w:pPr>
              <w:rPr>
                <w:rFonts w:cs="Arial"/>
                <w:sz w:val="20"/>
                <w:szCs w:val="20"/>
              </w:rPr>
            </w:pPr>
            <w:r>
              <w:rPr>
                <w:rFonts w:cs="Arial"/>
                <w:sz w:val="20"/>
                <w:szCs w:val="20"/>
              </w:rPr>
              <w:t>However the uncertainty of the potential impact of age structure the impact may be higher</w:t>
            </w:r>
          </w:p>
        </w:tc>
        <w:tc>
          <w:tcPr>
            <w:tcW w:w="2552" w:type="dxa"/>
            <w:shd w:val="clear" w:color="auto" w:fill="auto"/>
          </w:tcPr>
          <w:p w:rsidR="00D775A8" w:rsidRDefault="00D775A8" w:rsidP="008D493F">
            <w:pPr>
              <w:rPr>
                <w:rFonts w:cs="Arial"/>
                <w:sz w:val="20"/>
                <w:szCs w:val="20"/>
              </w:rPr>
            </w:pPr>
            <w:r>
              <w:rPr>
                <w:rFonts w:cs="Arial"/>
                <w:sz w:val="20"/>
                <w:szCs w:val="20"/>
              </w:rPr>
              <w:t xml:space="preserve">Medium Turbine Impact </w:t>
            </w:r>
          </w:p>
          <w:p w:rsidR="00D775A8" w:rsidRDefault="00D775A8" w:rsidP="008D493F">
            <w:pPr>
              <w:rPr>
                <w:rFonts w:cs="Arial"/>
                <w:sz w:val="20"/>
                <w:szCs w:val="20"/>
              </w:rPr>
            </w:pPr>
          </w:p>
          <w:p w:rsidR="00D775A8" w:rsidRDefault="00D775A8" w:rsidP="008D493F">
            <w:pPr>
              <w:rPr>
                <w:rFonts w:cs="Arial"/>
                <w:sz w:val="20"/>
                <w:szCs w:val="20"/>
              </w:rPr>
            </w:pPr>
            <w:r>
              <w:rPr>
                <w:rFonts w:cs="Arial"/>
                <w:sz w:val="20"/>
                <w:szCs w:val="20"/>
              </w:rPr>
              <w:t>“Major Adverse effect”</w:t>
            </w: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River Lamprey</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1.47</w:t>
            </w:r>
          </w:p>
        </w:tc>
        <w:tc>
          <w:tcPr>
            <w:tcW w:w="2268" w:type="dxa"/>
            <w:shd w:val="clear" w:color="auto" w:fill="auto"/>
          </w:tcPr>
          <w:p w:rsidR="00D775A8" w:rsidRPr="003C4B15" w:rsidRDefault="00D775A8" w:rsidP="008D493F">
            <w:pPr>
              <w:rPr>
                <w:rFonts w:cs="Arial"/>
                <w:sz w:val="20"/>
                <w:szCs w:val="20"/>
              </w:rPr>
            </w:pPr>
            <w:r w:rsidRPr="003C4B15">
              <w:rPr>
                <w:rFonts w:cs="Arial"/>
                <w:sz w:val="20"/>
                <w:szCs w:val="20"/>
              </w:rPr>
              <w:t>Low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“Minor adverse effect”</w:t>
            </w:r>
          </w:p>
        </w:tc>
        <w:tc>
          <w:tcPr>
            <w:tcW w:w="6520" w:type="dxa"/>
            <w:shd w:val="clear" w:color="auto" w:fill="auto"/>
          </w:tcPr>
          <w:p w:rsidR="00E20955" w:rsidRPr="00186FB1" w:rsidRDefault="00E20955" w:rsidP="008D493F">
            <w:pPr>
              <w:rPr>
                <w:rFonts w:cs="Arial"/>
                <w:sz w:val="20"/>
                <w:szCs w:val="20"/>
                <w:u w:val="single"/>
              </w:rPr>
            </w:pPr>
            <w:r w:rsidRPr="00186FB1">
              <w:rPr>
                <w:rFonts w:cs="Arial"/>
                <w:sz w:val="20"/>
                <w:szCs w:val="20"/>
                <w:u w:val="single"/>
              </w:rPr>
              <w:t>Population Area</w:t>
            </w:r>
            <w:r w:rsidR="00186FB1" w:rsidRPr="00186FB1">
              <w:rPr>
                <w:rFonts w:cs="Arial"/>
                <w:sz w:val="20"/>
                <w:szCs w:val="20"/>
                <w:u w:val="single"/>
              </w:rPr>
              <w:t xml:space="preserve">: </w:t>
            </w:r>
            <w:r w:rsidR="00186FB1" w:rsidRPr="00F33665">
              <w:rPr>
                <w:rFonts w:cs="Arial"/>
                <w:sz w:val="20"/>
                <w:szCs w:val="20"/>
              </w:rPr>
              <w:t>Bristol Channel</w:t>
            </w:r>
            <w:r w:rsidR="00186FB1" w:rsidRPr="00186FB1">
              <w:rPr>
                <w:rFonts w:cs="Arial"/>
                <w:sz w:val="20"/>
                <w:szCs w:val="20"/>
                <w:u w:val="single"/>
              </w:rPr>
              <w:t xml:space="preserve"> </w:t>
            </w:r>
          </w:p>
          <w:p w:rsidR="00186FB1" w:rsidRPr="00186FB1" w:rsidRDefault="00186FB1" w:rsidP="008D493F">
            <w:pPr>
              <w:rPr>
                <w:rFonts w:cs="Arial"/>
                <w:sz w:val="20"/>
                <w:szCs w:val="20"/>
                <w:u w:val="single"/>
              </w:rPr>
            </w:pPr>
          </w:p>
          <w:p w:rsidR="00D775A8" w:rsidRDefault="00186FB1" w:rsidP="008D493F">
            <w:pPr>
              <w:rPr>
                <w:rFonts w:cs="Arial"/>
                <w:sz w:val="20"/>
                <w:szCs w:val="20"/>
              </w:rPr>
            </w:pPr>
            <w:r w:rsidRPr="00186FB1">
              <w:rPr>
                <w:rFonts w:cs="Arial"/>
                <w:sz w:val="20"/>
                <w:szCs w:val="20"/>
              </w:rPr>
              <w:t xml:space="preserve">The applicant in the submitted model utilises an assumption that </w:t>
            </w:r>
            <w:r w:rsidR="00D775A8" w:rsidRPr="00186FB1">
              <w:rPr>
                <w:rFonts w:cs="Arial"/>
                <w:sz w:val="20"/>
                <w:szCs w:val="20"/>
              </w:rPr>
              <w:t xml:space="preserve">75% of population is assumed to adopt a behaviour of remaining in the Bristol Channel.  </w:t>
            </w:r>
            <w:proofErr w:type="spellStart"/>
            <w:r w:rsidRPr="00186FB1">
              <w:rPr>
                <w:rFonts w:cs="Arial"/>
                <w:sz w:val="20"/>
                <w:szCs w:val="20"/>
              </w:rPr>
              <w:t>Cefas</w:t>
            </w:r>
            <w:proofErr w:type="spellEnd"/>
            <w:r w:rsidRPr="00186FB1">
              <w:rPr>
                <w:rFonts w:cs="Arial"/>
                <w:sz w:val="20"/>
                <w:szCs w:val="20"/>
              </w:rPr>
              <w:t xml:space="preserve"> advise that there is little evidence to support that 75% of River Lamprey stay within the Bristol Channel Population area and 25% move off to the Celtic Sea.  Therefore, given the level of available evidence this parameter has been set at the smaller Bristol Channel level for all life stages. </w:t>
            </w:r>
          </w:p>
          <w:p w:rsidR="00D775A8" w:rsidRDefault="00D775A8" w:rsidP="008D493F">
            <w:pPr>
              <w:rPr>
                <w:rFonts w:cs="Arial"/>
                <w:sz w:val="20"/>
                <w:szCs w:val="20"/>
              </w:rPr>
            </w:pPr>
          </w:p>
          <w:p w:rsidR="00E20955" w:rsidRPr="00E20955" w:rsidRDefault="00761F79" w:rsidP="008D493F">
            <w:pPr>
              <w:rPr>
                <w:rFonts w:cs="Arial"/>
                <w:sz w:val="20"/>
                <w:szCs w:val="20"/>
                <w:u w:val="single"/>
              </w:rPr>
            </w:pPr>
            <w:r>
              <w:rPr>
                <w:rFonts w:cs="Arial"/>
                <w:sz w:val="20"/>
                <w:szCs w:val="20"/>
                <w:u w:val="single"/>
              </w:rPr>
              <w:t xml:space="preserve">Diurnal behaviour factor: </w:t>
            </w:r>
            <w:r w:rsidRPr="00761F79">
              <w:rPr>
                <w:rFonts w:cs="Arial"/>
                <w:sz w:val="20"/>
                <w:szCs w:val="20"/>
              </w:rPr>
              <w:t>Removed</w:t>
            </w:r>
          </w:p>
          <w:p w:rsidR="00761F79" w:rsidRDefault="00761F79" w:rsidP="008D493F">
            <w:pPr>
              <w:rPr>
                <w:rFonts w:cs="Arial"/>
                <w:sz w:val="20"/>
                <w:szCs w:val="20"/>
              </w:rPr>
            </w:pPr>
            <w:r w:rsidRPr="00AC3F43">
              <w:rPr>
                <w:rFonts w:cs="Arial"/>
                <w:sz w:val="20"/>
                <w:szCs w:val="20"/>
              </w:rPr>
              <w:t xml:space="preserve">In the encounter models, TLSB has assumed that </w:t>
            </w:r>
            <w:r w:rsidR="006966F7">
              <w:rPr>
                <w:rFonts w:cs="Arial"/>
                <w:sz w:val="20"/>
                <w:szCs w:val="20"/>
              </w:rPr>
              <w:t>river lamprey</w:t>
            </w:r>
            <w:r w:rsidRPr="00AC3F43">
              <w:rPr>
                <w:rFonts w:cs="Arial"/>
                <w:sz w:val="20"/>
                <w:szCs w:val="20"/>
              </w:rPr>
              <w:t xml:space="preserve"> are only active during the </w:t>
            </w:r>
            <w:r>
              <w:rPr>
                <w:rFonts w:cs="Arial"/>
                <w:sz w:val="20"/>
                <w:szCs w:val="20"/>
              </w:rPr>
              <w:t>night</w:t>
            </w:r>
            <w:r w:rsidRPr="00AC3F43">
              <w:rPr>
                <w:rFonts w:cs="Arial"/>
                <w:sz w:val="20"/>
                <w:szCs w:val="20"/>
              </w:rPr>
              <w:t xml:space="preserve"> and therefore applied a correction factor o</w:t>
            </w:r>
            <w:r>
              <w:rPr>
                <w:rFonts w:cs="Arial"/>
                <w:sz w:val="20"/>
                <w:szCs w:val="20"/>
              </w:rPr>
              <w:t>f 0.4907</w:t>
            </w:r>
            <w:r w:rsidRPr="00AC3F43">
              <w:rPr>
                <w:rFonts w:cs="Arial"/>
                <w:sz w:val="20"/>
                <w:szCs w:val="20"/>
              </w:rPr>
              <w:t xml:space="preserve"> to the impact estimate for the resident stage. </w:t>
            </w:r>
          </w:p>
          <w:p w:rsidR="00761F79" w:rsidRDefault="00761F79" w:rsidP="008D493F">
            <w:pPr>
              <w:rPr>
                <w:rFonts w:cs="Arial"/>
                <w:sz w:val="20"/>
                <w:szCs w:val="20"/>
              </w:rPr>
            </w:pPr>
          </w:p>
          <w:p w:rsidR="00761F79" w:rsidRDefault="00761F79" w:rsidP="008D493F">
            <w:pPr>
              <w:rPr>
                <w:rFonts w:cs="Arial"/>
                <w:sz w:val="20"/>
                <w:szCs w:val="20"/>
              </w:rPr>
            </w:pPr>
            <w:r w:rsidRPr="00AC3F43">
              <w:rPr>
                <w:rFonts w:cs="Arial"/>
                <w:sz w:val="20"/>
                <w:szCs w:val="20"/>
              </w:rPr>
              <w:t xml:space="preserve">However, the Fish Species Datasheet for </w:t>
            </w:r>
            <w:r>
              <w:rPr>
                <w:rFonts w:cs="Arial"/>
                <w:sz w:val="20"/>
                <w:szCs w:val="20"/>
              </w:rPr>
              <w:t>River Lamprey</w:t>
            </w:r>
            <w:r w:rsidRPr="00AC3F43">
              <w:rPr>
                <w:rFonts w:cs="Arial"/>
                <w:sz w:val="20"/>
                <w:szCs w:val="20"/>
              </w:rPr>
              <w:t xml:space="preserve"> indicates that the diurnal behaviour relates to migration through estuaries and does not provide evidence of </w:t>
            </w:r>
            <w:r>
              <w:rPr>
                <w:rFonts w:cs="Arial"/>
                <w:sz w:val="20"/>
                <w:szCs w:val="20"/>
              </w:rPr>
              <w:t>nocturnal</w:t>
            </w:r>
            <w:r w:rsidRPr="00AC3F43">
              <w:rPr>
                <w:rFonts w:cs="Arial"/>
                <w:sz w:val="20"/>
                <w:szCs w:val="20"/>
              </w:rPr>
              <w:t xml:space="preserve"> behaviour in the sea.</w:t>
            </w:r>
            <w:r>
              <w:rPr>
                <w:rFonts w:cs="Arial"/>
                <w:sz w:val="20"/>
                <w:szCs w:val="20"/>
              </w:rPr>
              <w:t xml:space="preserve"> </w:t>
            </w:r>
          </w:p>
          <w:p w:rsidR="00761F79" w:rsidRDefault="00761F79" w:rsidP="008D493F">
            <w:pPr>
              <w:rPr>
                <w:rFonts w:cs="Arial"/>
                <w:sz w:val="20"/>
                <w:szCs w:val="20"/>
              </w:rPr>
            </w:pPr>
          </w:p>
          <w:p w:rsidR="00761F79" w:rsidRDefault="00761F79" w:rsidP="008D493F">
            <w:pPr>
              <w:rPr>
                <w:color w:val="1F497D"/>
              </w:rPr>
            </w:pPr>
            <w:r>
              <w:rPr>
                <w:rFonts w:cs="Arial"/>
                <w:sz w:val="20"/>
                <w:szCs w:val="20"/>
              </w:rPr>
              <w:t>On the ba</w:t>
            </w:r>
            <w:r w:rsidR="00F33665">
              <w:rPr>
                <w:rFonts w:cs="Arial"/>
                <w:sz w:val="20"/>
                <w:szCs w:val="20"/>
              </w:rPr>
              <w:t>sis of</w:t>
            </w:r>
            <w:r>
              <w:rPr>
                <w:rFonts w:cs="Arial"/>
                <w:sz w:val="20"/>
                <w:szCs w:val="20"/>
              </w:rPr>
              <w:t xml:space="preserve"> no evidence provided to support River Lamprey are only active at night the correction factor for diurnal behaviour has been removed in the </w:t>
            </w:r>
            <w:proofErr w:type="spellStart"/>
            <w:r>
              <w:rPr>
                <w:rFonts w:cs="Arial"/>
                <w:sz w:val="20"/>
                <w:szCs w:val="20"/>
              </w:rPr>
              <w:t>Cefas</w:t>
            </w:r>
            <w:proofErr w:type="spellEnd"/>
            <w:r>
              <w:rPr>
                <w:rFonts w:cs="Arial"/>
                <w:sz w:val="20"/>
                <w:szCs w:val="20"/>
              </w:rPr>
              <w:t xml:space="preserve"> ADZ model outputs. </w:t>
            </w:r>
            <w:r>
              <w:rPr>
                <w:color w:val="1F497D"/>
              </w:rPr>
              <w:t xml:space="preserve"> </w:t>
            </w:r>
          </w:p>
          <w:p w:rsidR="00D775A8" w:rsidRDefault="00D775A8" w:rsidP="008D493F">
            <w:pPr>
              <w:rPr>
                <w:rFonts w:cs="Arial"/>
                <w:sz w:val="20"/>
                <w:szCs w:val="20"/>
              </w:rPr>
            </w:pPr>
          </w:p>
        </w:tc>
        <w:tc>
          <w:tcPr>
            <w:tcW w:w="1843" w:type="dxa"/>
            <w:shd w:val="clear" w:color="auto" w:fill="auto"/>
          </w:tcPr>
          <w:p w:rsidR="00D775A8" w:rsidRPr="003C4B15" w:rsidRDefault="00D775A8" w:rsidP="008D493F">
            <w:pPr>
              <w:rPr>
                <w:rFonts w:cs="Arial"/>
                <w:sz w:val="20"/>
                <w:szCs w:val="20"/>
              </w:rPr>
            </w:pPr>
            <w:r>
              <w:rPr>
                <w:rFonts w:cs="Arial"/>
                <w:sz w:val="20"/>
                <w:szCs w:val="20"/>
              </w:rPr>
              <w:t>2.85%</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Medium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“Major Adverse effect “</w:t>
            </w:r>
          </w:p>
        </w:tc>
        <w:tc>
          <w:tcPr>
            <w:tcW w:w="1984" w:type="dxa"/>
            <w:shd w:val="clear" w:color="auto" w:fill="auto"/>
          </w:tcPr>
          <w:p w:rsidR="00D775A8" w:rsidRDefault="00D775A8" w:rsidP="008D493F">
            <w:pPr>
              <w:rPr>
                <w:rFonts w:cs="Arial"/>
                <w:sz w:val="20"/>
                <w:szCs w:val="20"/>
              </w:rPr>
            </w:pPr>
            <w:r>
              <w:rPr>
                <w:rFonts w:cs="Arial"/>
                <w:sz w:val="20"/>
                <w:szCs w:val="20"/>
              </w:rPr>
              <w:t>Approximately 3 %</w:t>
            </w:r>
          </w:p>
        </w:tc>
        <w:tc>
          <w:tcPr>
            <w:tcW w:w="2552" w:type="dxa"/>
            <w:shd w:val="clear" w:color="auto" w:fill="auto"/>
          </w:tcPr>
          <w:p w:rsidR="00D775A8" w:rsidRPr="003C4B15" w:rsidRDefault="00D775A8" w:rsidP="008D493F">
            <w:pPr>
              <w:rPr>
                <w:rFonts w:cs="Arial"/>
                <w:sz w:val="20"/>
                <w:szCs w:val="20"/>
              </w:rPr>
            </w:pPr>
            <w:r w:rsidRPr="003C4B15">
              <w:rPr>
                <w:rFonts w:cs="Arial"/>
                <w:sz w:val="20"/>
                <w:szCs w:val="20"/>
              </w:rPr>
              <w:t>Medium Turbine Impact</w:t>
            </w:r>
          </w:p>
          <w:p w:rsidR="00D775A8" w:rsidRPr="003C4B15" w:rsidRDefault="00D775A8" w:rsidP="008D493F">
            <w:pPr>
              <w:rPr>
                <w:rFonts w:cs="Arial"/>
                <w:sz w:val="20"/>
                <w:szCs w:val="20"/>
              </w:rPr>
            </w:pPr>
          </w:p>
          <w:p w:rsidR="00D775A8" w:rsidRDefault="00D775A8" w:rsidP="008D493F">
            <w:pPr>
              <w:rPr>
                <w:rFonts w:cs="Arial"/>
                <w:sz w:val="20"/>
                <w:szCs w:val="20"/>
              </w:rPr>
            </w:pPr>
            <w:r w:rsidRPr="003C4B15">
              <w:rPr>
                <w:rFonts w:cs="Arial"/>
                <w:sz w:val="20"/>
                <w:szCs w:val="20"/>
              </w:rPr>
              <w:t>“Major Adverse effect “</w:t>
            </w: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Sea Lamprey</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2.80</w:t>
            </w:r>
          </w:p>
        </w:tc>
        <w:tc>
          <w:tcPr>
            <w:tcW w:w="2268" w:type="dxa"/>
            <w:shd w:val="clear" w:color="auto" w:fill="auto"/>
          </w:tcPr>
          <w:p w:rsidR="00D775A8" w:rsidRPr="003C4B15" w:rsidRDefault="00D775A8" w:rsidP="008D493F">
            <w:pPr>
              <w:rPr>
                <w:rFonts w:cs="Arial"/>
                <w:sz w:val="20"/>
                <w:szCs w:val="20"/>
              </w:rPr>
            </w:pPr>
            <w:r w:rsidRPr="003C4B15">
              <w:rPr>
                <w:rFonts w:cs="Arial"/>
                <w:sz w:val="20"/>
                <w:szCs w:val="20"/>
              </w:rPr>
              <w:t>Medium turbine impact category</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“Major adverse effect”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 xml:space="preserve"> </w:t>
            </w:r>
          </w:p>
        </w:tc>
        <w:tc>
          <w:tcPr>
            <w:tcW w:w="6520" w:type="dxa"/>
            <w:shd w:val="clear" w:color="auto" w:fill="auto"/>
          </w:tcPr>
          <w:p w:rsidR="00E20955" w:rsidRPr="00E20955" w:rsidRDefault="00E20955" w:rsidP="008D493F">
            <w:pPr>
              <w:rPr>
                <w:rFonts w:cs="Arial"/>
                <w:sz w:val="20"/>
                <w:szCs w:val="20"/>
                <w:u w:val="single"/>
              </w:rPr>
            </w:pPr>
            <w:r w:rsidRPr="00E20955">
              <w:rPr>
                <w:rFonts w:cs="Arial"/>
                <w:sz w:val="20"/>
                <w:szCs w:val="20"/>
                <w:u w:val="single"/>
              </w:rPr>
              <w:t>Population Area</w:t>
            </w:r>
            <w:r w:rsidR="00186FB1">
              <w:rPr>
                <w:rFonts w:cs="Arial"/>
                <w:sz w:val="20"/>
                <w:szCs w:val="20"/>
                <w:u w:val="single"/>
              </w:rPr>
              <w:t xml:space="preserve">: </w:t>
            </w:r>
            <w:r w:rsidR="00186FB1" w:rsidRPr="00F33665">
              <w:rPr>
                <w:rFonts w:cs="Arial"/>
                <w:sz w:val="20"/>
                <w:szCs w:val="20"/>
              </w:rPr>
              <w:t xml:space="preserve">Bristol Channel </w:t>
            </w:r>
            <w:r w:rsidR="00E80A03" w:rsidRPr="00F33665">
              <w:rPr>
                <w:rFonts w:cs="Arial"/>
                <w:sz w:val="20"/>
                <w:szCs w:val="20"/>
              </w:rPr>
              <w:t>for Resident phase</w:t>
            </w:r>
          </w:p>
          <w:p w:rsidR="00F05055" w:rsidRDefault="00186FB1" w:rsidP="008D493F">
            <w:pPr>
              <w:rPr>
                <w:rFonts w:cs="Arial"/>
                <w:sz w:val="20"/>
                <w:szCs w:val="20"/>
              </w:rPr>
            </w:pPr>
            <w:r>
              <w:rPr>
                <w:rFonts w:cs="Arial"/>
                <w:sz w:val="20"/>
                <w:szCs w:val="20"/>
              </w:rPr>
              <w:t xml:space="preserve">The </w:t>
            </w:r>
            <w:r w:rsidR="00F05055">
              <w:rPr>
                <w:rFonts w:cs="Arial"/>
                <w:sz w:val="20"/>
                <w:szCs w:val="20"/>
              </w:rPr>
              <w:t>applicants’</w:t>
            </w:r>
            <w:r>
              <w:rPr>
                <w:rFonts w:cs="Arial"/>
                <w:sz w:val="20"/>
                <w:szCs w:val="20"/>
              </w:rPr>
              <w:t xml:space="preserve"> submitted ADZ model provides annual impacts of emigrating sea lamprey transformers with the population area as Swansea Bay and for returning adults and residents with a population area as the Bristol Channel. The total impact on the population is assumes that </w:t>
            </w:r>
            <w:r w:rsidR="00F05055">
              <w:rPr>
                <w:rFonts w:cs="Arial"/>
                <w:sz w:val="20"/>
                <w:szCs w:val="20"/>
              </w:rPr>
              <w:t xml:space="preserve">sea lamprey remain at sea for 3 years before spawning once but the resident stage is split between the Bristol Channel and the Celtic Sea. </w:t>
            </w:r>
            <w:r>
              <w:rPr>
                <w:rFonts w:cs="Arial"/>
                <w:sz w:val="20"/>
                <w:szCs w:val="20"/>
              </w:rPr>
              <w:t xml:space="preserve"> </w:t>
            </w:r>
            <w:r w:rsidR="00F05055">
              <w:rPr>
                <w:rFonts w:cs="Arial"/>
                <w:sz w:val="20"/>
                <w:szCs w:val="20"/>
              </w:rPr>
              <w:t xml:space="preserve"> The evidence provided for these assumptions is unclear</w:t>
            </w:r>
          </w:p>
          <w:p w:rsidR="00F05055" w:rsidRDefault="00F05055" w:rsidP="008D493F">
            <w:pPr>
              <w:rPr>
                <w:rFonts w:cs="Arial"/>
                <w:sz w:val="20"/>
                <w:szCs w:val="20"/>
              </w:rPr>
            </w:pPr>
          </w:p>
          <w:p w:rsidR="00D775A8" w:rsidRDefault="00E80A03" w:rsidP="008D493F">
            <w:pPr>
              <w:rPr>
                <w:rFonts w:cs="Arial"/>
                <w:sz w:val="20"/>
                <w:szCs w:val="20"/>
              </w:rPr>
            </w:pPr>
            <w:r>
              <w:rPr>
                <w:rFonts w:cs="Arial"/>
                <w:sz w:val="20"/>
                <w:szCs w:val="20"/>
              </w:rPr>
              <w:t xml:space="preserve">The parameter for the resident phase has </w:t>
            </w:r>
            <w:r w:rsidR="00F33665">
              <w:rPr>
                <w:rFonts w:cs="Arial"/>
                <w:sz w:val="20"/>
                <w:szCs w:val="20"/>
              </w:rPr>
              <w:t xml:space="preserve">therefore </w:t>
            </w:r>
            <w:r>
              <w:rPr>
                <w:rFonts w:cs="Arial"/>
                <w:sz w:val="20"/>
                <w:szCs w:val="20"/>
              </w:rPr>
              <w:t xml:space="preserve">been set at the Bristol Channel. </w:t>
            </w:r>
            <w:r w:rsidR="00F05055">
              <w:rPr>
                <w:rFonts w:cs="Arial"/>
                <w:sz w:val="20"/>
                <w:szCs w:val="20"/>
              </w:rPr>
              <w:t xml:space="preserve"> </w:t>
            </w:r>
          </w:p>
          <w:p w:rsidR="00D775A8" w:rsidRDefault="00D775A8" w:rsidP="008D493F">
            <w:pPr>
              <w:rPr>
                <w:rFonts w:cs="Arial"/>
                <w:sz w:val="20"/>
                <w:szCs w:val="20"/>
              </w:rPr>
            </w:pPr>
          </w:p>
          <w:p w:rsidR="00E20955" w:rsidRDefault="00761F79" w:rsidP="008D493F">
            <w:pPr>
              <w:rPr>
                <w:rFonts w:cs="Arial"/>
                <w:sz w:val="20"/>
                <w:szCs w:val="20"/>
                <w:u w:val="single"/>
              </w:rPr>
            </w:pPr>
            <w:r>
              <w:rPr>
                <w:rFonts w:cs="Arial"/>
                <w:sz w:val="20"/>
                <w:szCs w:val="20"/>
                <w:u w:val="single"/>
              </w:rPr>
              <w:t>Diurnal behaviour factor:</w:t>
            </w:r>
            <w:r w:rsidRPr="00D12517">
              <w:rPr>
                <w:rFonts w:cs="Arial"/>
                <w:sz w:val="20"/>
                <w:szCs w:val="20"/>
              </w:rPr>
              <w:t xml:space="preserve"> Removed</w:t>
            </w:r>
          </w:p>
          <w:p w:rsidR="00761F79" w:rsidRDefault="00761F79" w:rsidP="008D493F">
            <w:pPr>
              <w:rPr>
                <w:rFonts w:cs="Arial"/>
                <w:sz w:val="20"/>
                <w:szCs w:val="20"/>
              </w:rPr>
            </w:pPr>
            <w:r>
              <w:rPr>
                <w:rFonts w:cs="Arial"/>
                <w:sz w:val="20"/>
                <w:szCs w:val="20"/>
              </w:rPr>
              <w:lastRenderedPageBreak/>
              <w:t>I</w:t>
            </w:r>
            <w:r w:rsidRPr="00AC3F43">
              <w:rPr>
                <w:rFonts w:cs="Arial"/>
                <w:sz w:val="20"/>
                <w:szCs w:val="20"/>
              </w:rPr>
              <w:t xml:space="preserve">n the encounter models, </w:t>
            </w:r>
            <w:r w:rsidR="00F33665">
              <w:rPr>
                <w:rFonts w:cs="Arial"/>
                <w:sz w:val="20"/>
                <w:szCs w:val="20"/>
              </w:rPr>
              <w:t>the applicant</w:t>
            </w:r>
            <w:r w:rsidRPr="00AC3F43">
              <w:rPr>
                <w:rFonts w:cs="Arial"/>
                <w:sz w:val="20"/>
                <w:szCs w:val="20"/>
              </w:rPr>
              <w:t xml:space="preserve"> has assumed that </w:t>
            </w:r>
            <w:r w:rsidR="00F33665">
              <w:rPr>
                <w:rFonts w:cs="Arial"/>
                <w:sz w:val="20"/>
                <w:szCs w:val="20"/>
              </w:rPr>
              <w:t>sea lamprey</w:t>
            </w:r>
            <w:r w:rsidRPr="00AC3F43">
              <w:rPr>
                <w:rFonts w:cs="Arial"/>
                <w:sz w:val="20"/>
                <w:szCs w:val="20"/>
              </w:rPr>
              <w:t xml:space="preserve"> are only active during the </w:t>
            </w:r>
            <w:r>
              <w:rPr>
                <w:rFonts w:cs="Arial"/>
                <w:sz w:val="20"/>
                <w:szCs w:val="20"/>
              </w:rPr>
              <w:t>night</w:t>
            </w:r>
            <w:r w:rsidRPr="00AC3F43">
              <w:rPr>
                <w:rFonts w:cs="Arial"/>
                <w:sz w:val="20"/>
                <w:szCs w:val="20"/>
              </w:rPr>
              <w:t xml:space="preserve"> and they have therefore applied a correction factor. </w:t>
            </w:r>
          </w:p>
          <w:p w:rsidR="00761F79" w:rsidRDefault="00761F79" w:rsidP="008D493F">
            <w:pPr>
              <w:rPr>
                <w:rFonts w:cs="Arial"/>
                <w:sz w:val="20"/>
                <w:szCs w:val="20"/>
              </w:rPr>
            </w:pPr>
          </w:p>
          <w:p w:rsidR="00761F79" w:rsidRDefault="00761F79" w:rsidP="008D493F">
            <w:pPr>
              <w:rPr>
                <w:rFonts w:cs="Arial"/>
                <w:sz w:val="20"/>
                <w:szCs w:val="20"/>
              </w:rPr>
            </w:pPr>
            <w:r w:rsidRPr="00AC3F43">
              <w:rPr>
                <w:rFonts w:cs="Arial"/>
                <w:sz w:val="20"/>
                <w:szCs w:val="20"/>
              </w:rPr>
              <w:t>However, the Fish Species Datasheet for</w:t>
            </w:r>
            <w:r w:rsidR="00E22B15">
              <w:rPr>
                <w:rFonts w:cs="Arial"/>
                <w:sz w:val="20"/>
                <w:szCs w:val="20"/>
              </w:rPr>
              <w:t xml:space="preserve"> sea l</w:t>
            </w:r>
            <w:r>
              <w:rPr>
                <w:rFonts w:cs="Arial"/>
                <w:sz w:val="20"/>
                <w:szCs w:val="20"/>
              </w:rPr>
              <w:t>amprey</w:t>
            </w:r>
            <w:r w:rsidRPr="00AC3F43">
              <w:rPr>
                <w:rFonts w:cs="Arial"/>
                <w:sz w:val="20"/>
                <w:szCs w:val="20"/>
              </w:rPr>
              <w:t xml:space="preserve"> indicates that the diurnal behaviour relates to migration through estuaries and does not provide evidence of </w:t>
            </w:r>
            <w:r>
              <w:rPr>
                <w:rFonts w:cs="Arial"/>
                <w:sz w:val="20"/>
                <w:szCs w:val="20"/>
              </w:rPr>
              <w:t>nocturnal</w:t>
            </w:r>
            <w:r w:rsidRPr="00AC3F43">
              <w:rPr>
                <w:rFonts w:cs="Arial"/>
                <w:sz w:val="20"/>
                <w:szCs w:val="20"/>
              </w:rPr>
              <w:t xml:space="preserve"> behaviour in the sea.</w:t>
            </w:r>
            <w:r>
              <w:rPr>
                <w:rFonts w:cs="Arial"/>
                <w:sz w:val="20"/>
                <w:szCs w:val="20"/>
              </w:rPr>
              <w:t xml:space="preserve"> </w:t>
            </w:r>
          </w:p>
          <w:p w:rsidR="00761F79" w:rsidRDefault="00761F79" w:rsidP="008D493F">
            <w:pPr>
              <w:rPr>
                <w:rFonts w:cs="Arial"/>
                <w:sz w:val="20"/>
                <w:szCs w:val="20"/>
              </w:rPr>
            </w:pPr>
          </w:p>
          <w:p w:rsidR="00D775A8" w:rsidRDefault="00761F79" w:rsidP="008D493F">
            <w:pPr>
              <w:rPr>
                <w:rFonts w:cs="Arial"/>
                <w:sz w:val="20"/>
                <w:szCs w:val="20"/>
              </w:rPr>
            </w:pPr>
            <w:r>
              <w:rPr>
                <w:rFonts w:cs="Arial"/>
                <w:sz w:val="20"/>
                <w:szCs w:val="20"/>
              </w:rPr>
              <w:t>On the basis on n</w:t>
            </w:r>
            <w:r w:rsidR="00E22B15">
              <w:rPr>
                <w:rFonts w:cs="Arial"/>
                <w:sz w:val="20"/>
                <w:szCs w:val="20"/>
              </w:rPr>
              <w:t>o evidence provided to support sea l</w:t>
            </w:r>
            <w:r>
              <w:rPr>
                <w:rFonts w:cs="Arial"/>
                <w:sz w:val="20"/>
                <w:szCs w:val="20"/>
              </w:rPr>
              <w:t xml:space="preserve">amprey are only active at night the correction factor for diurnal behaviour has been removed in the </w:t>
            </w:r>
            <w:proofErr w:type="spellStart"/>
            <w:r>
              <w:rPr>
                <w:rFonts w:cs="Arial"/>
                <w:sz w:val="20"/>
                <w:szCs w:val="20"/>
              </w:rPr>
              <w:t>Cefas</w:t>
            </w:r>
            <w:proofErr w:type="spellEnd"/>
            <w:r>
              <w:rPr>
                <w:rFonts w:cs="Arial"/>
                <w:sz w:val="20"/>
                <w:szCs w:val="20"/>
              </w:rPr>
              <w:t xml:space="preserve"> ADZ model outputs</w:t>
            </w:r>
          </w:p>
        </w:tc>
        <w:tc>
          <w:tcPr>
            <w:tcW w:w="1843" w:type="dxa"/>
            <w:shd w:val="clear" w:color="auto" w:fill="auto"/>
          </w:tcPr>
          <w:p w:rsidR="00D775A8" w:rsidRPr="003C4B15" w:rsidRDefault="00D775A8" w:rsidP="008D493F">
            <w:pPr>
              <w:rPr>
                <w:rFonts w:cs="Arial"/>
                <w:sz w:val="20"/>
                <w:szCs w:val="20"/>
              </w:rPr>
            </w:pPr>
            <w:r>
              <w:rPr>
                <w:rFonts w:cs="Arial"/>
                <w:sz w:val="20"/>
                <w:szCs w:val="20"/>
              </w:rPr>
              <w:lastRenderedPageBreak/>
              <w:t>4-7%</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Medium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“Major Adverse effect “</w:t>
            </w:r>
          </w:p>
        </w:tc>
        <w:tc>
          <w:tcPr>
            <w:tcW w:w="1984" w:type="dxa"/>
            <w:shd w:val="clear" w:color="auto" w:fill="auto"/>
          </w:tcPr>
          <w:p w:rsidR="00D775A8" w:rsidRDefault="00D775A8" w:rsidP="008D493F">
            <w:pPr>
              <w:rPr>
                <w:rFonts w:cs="Arial"/>
                <w:sz w:val="20"/>
                <w:szCs w:val="20"/>
              </w:rPr>
            </w:pPr>
            <w:r>
              <w:rPr>
                <w:rFonts w:cs="Arial"/>
                <w:sz w:val="20"/>
                <w:szCs w:val="20"/>
              </w:rPr>
              <w:t>Approximately 4-7%</w:t>
            </w:r>
          </w:p>
        </w:tc>
        <w:tc>
          <w:tcPr>
            <w:tcW w:w="2552" w:type="dxa"/>
            <w:shd w:val="clear" w:color="auto" w:fill="auto"/>
          </w:tcPr>
          <w:p w:rsidR="00D775A8" w:rsidRDefault="00D775A8" w:rsidP="008D493F">
            <w:pPr>
              <w:rPr>
                <w:rFonts w:cs="Arial"/>
                <w:sz w:val="20"/>
                <w:szCs w:val="20"/>
              </w:rPr>
            </w:pPr>
            <w:r>
              <w:rPr>
                <w:rFonts w:cs="Arial"/>
                <w:sz w:val="20"/>
                <w:szCs w:val="20"/>
              </w:rPr>
              <w:t xml:space="preserve">Medium Turbine Impact </w:t>
            </w:r>
          </w:p>
          <w:p w:rsidR="00D775A8" w:rsidRDefault="00D775A8" w:rsidP="008D493F">
            <w:pPr>
              <w:rPr>
                <w:rFonts w:cs="Arial"/>
                <w:sz w:val="20"/>
                <w:szCs w:val="20"/>
              </w:rPr>
            </w:pPr>
          </w:p>
          <w:p w:rsidR="00D775A8" w:rsidRDefault="00D775A8" w:rsidP="008D493F">
            <w:pPr>
              <w:rPr>
                <w:rFonts w:cs="Arial"/>
                <w:sz w:val="20"/>
                <w:szCs w:val="20"/>
              </w:rPr>
            </w:pPr>
            <w:r>
              <w:rPr>
                <w:rFonts w:cs="Arial"/>
                <w:sz w:val="20"/>
                <w:szCs w:val="20"/>
              </w:rPr>
              <w:t>“Major Adverse effect”</w:t>
            </w: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Herring</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1.18</w:t>
            </w:r>
          </w:p>
        </w:tc>
        <w:tc>
          <w:tcPr>
            <w:tcW w:w="2268" w:type="dxa"/>
            <w:shd w:val="clear" w:color="auto" w:fill="auto"/>
          </w:tcPr>
          <w:p w:rsidR="00D775A8" w:rsidRPr="003C4B15" w:rsidRDefault="00D775A8" w:rsidP="008D493F">
            <w:pPr>
              <w:rPr>
                <w:rFonts w:cs="Arial"/>
                <w:sz w:val="20"/>
                <w:szCs w:val="20"/>
              </w:rPr>
            </w:pPr>
            <w:r w:rsidRPr="003C4B15">
              <w:rPr>
                <w:rFonts w:cs="Arial"/>
                <w:sz w:val="20"/>
                <w:szCs w:val="20"/>
              </w:rPr>
              <w:t>Low turbine impact category</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“Minor adverse effect”</w:t>
            </w:r>
          </w:p>
        </w:tc>
        <w:tc>
          <w:tcPr>
            <w:tcW w:w="6520" w:type="dxa"/>
            <w:shd w:val="clear" w:color="auto" w:fill="auto"/>
          </w:tcPr>
          <w:p w:rsidR="00D775A8" w:rsidRPr="003C4B15" w:rsidRDefault="00E20955" w:rsidP="008D493F">
            <w:pPr>
              <w:rPr>
                <w:rFonts w:cs="Arial"/>
                <w:sz w:val="20"/>
                <w:szCs w:val="20"/>
              </w:rPr>
            </w:pPr>
            <w:r>
              <w:rPr>
                <w:rFonts w:cs="Arial"/>
                <w:sz w:val="20"/>
                <w:szCs w:val="20"/>
              </w:rPr>
              <w:t xml:space="preserve">No alterations </w:t>
            </w:r>
          </w:p>
        </w:tc>
        <w:tc>
          <w:tcPr>
            <w:tcW w:w="1843" w:type="dxa"/>
            <w:shd w:val="clear" w:color="auto" w:fill="auto"/>
          </w:tcPr>
          <w:p w:rsidR="00D775A8" w:rsidRPr="003C4B15" w:rsidRDefault="00D775A8" w:rsidP="008D493F">
            <w:pPr>
              <w:rPr>
                <w:rFonts w:cs="Arial"/>
                <w:sz w:val="20"/>
                <w:szCs w:val="20"/>
              </w:rPr>
            </w:pPr>
            <w:r w:rsidRPr="003C4B15">
              <w:rPr>
                <w:rFonts w:cs="Arial"/>
                <w:sz w:val="20"/>
                <w:szCs w:val="20"/>
              </w:rPr>
              <w:t>1.18</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Low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“Minor adverse effect”</w:t>
            </w:r>
          </w:p>
        </w:tc>
        <w:tc>
          <w:tcPr>
            <w:tcW w:w="1984" w:type="dxa"/>
            <w:shd w:val="clear" w:color="auto" w:fill="auto"/>
          </w:tcPr>
          <w:p w:rsidR="00D775A8" w:rsidRDefault="00D775A8" w:rsidP="008D493F">
            <w:pPr>
              <w:rPr>
                <w:rFonts w:cs="Arial"/>
                <w:sz w:val="20"/>
                <w:szCs w:val="20"/>
              </w:rPr>
            </w:pPr>
            <w:r>
              <w:rPr>
                <w:rFonts w:cs="Arial"/>
                <w:sz w:val="20"/>
                <w:szCs w:val="20"/>
              </w:rPr>
              <w:t>Approximately 1 %</w:t>
            </w:r>
          </w:p>
        </w:tc>
        <w:tc>
          <w:tcPr>
            <w:tcW w:w="2552" w:type="dxa"/>
            <w:shd w:val="clear" w:color="auto" w:fill="auto"/>
          </w:tcPr>
          <w:p w:rsidR="00D775A8" w:rsidRDefault="00D775A8" w:rsidP="008D493F">
            <w:pPr>
              <w:rPr>
                <w:rFonts w:cs="Arial"/>
                <w:sz w:val="20"/>
                <w:szCs w:val="20"/>
              </w:rPr>
            </w:pPr>
            <w:r>
              <w:rPr>
                <w:rFonts w:cs="Arial"/>
                <w:sz w:val="20"/>
                <w:szCs w:val="20"/>
              </w:rPr>
              <w:t xml:space="preserve">Low turbine </w:t>
            </w:r>
          </w:p>
          <w:p w:rsidR="00D775A8" w:rsidRDefault="00D775A8" w:rsidP="008D493F">
            <w:pPr>
              <w:rPr>
                <w:rFonts w:cs="Arial"/>
                <w:sz w:val="20"/>
                <w:szCs w:val="20"/>
              </w:rPr>
            </w:pPr>
          </w:p>
          <w:p w:rsidR="00D775A8" w:rsidRDefault="00D775A8" w:rsidP="008D493F">
            <w:pPr>
              <w:rPr>
                <w:rFonts w:cs="Arial"/>
                <w:sz w:val="20"/>
                <w:szCs w:val="20"/>
              </w:rPr>
            </w:pPr>
            <w:r>
              <w:rPr>
                <w:rFonts w:cs="Arial"/>
                <w:sz w:val="20"/>
                <w:szCs w:val="20"/>
              </w:rPr>
              <w:t>“Minor Adverse effect”</w:t>
            </w:r>
          </w:p>
        </w:tc>
      </w:tr>
      <w:tr w:rsidR="00D775A8" w:rsidRPr="003C4B15" w:rsidTr="008D493F">
        <w:trPr>
          <w:trHeight w:val="1181"/>
        </w:trPr>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Common Sole</w:t>
            </w:r>
            <w:r w:rsidR="00F05055">
              <w:rPr>
                <w:rFonts w:cs="Arial"/>
                <w:sz w:val="20"/>
                <w:szCs w:val="20"/>
              </w:rPr>
              <w:t xml:space="preserve"> (juvenile) </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0.0018</w:t>
            </w:r>
          </w:p>
        </w:tc>
        <w:tc>
          <w:tcPr>
            <w:tcW w:w="2268" w:type="dxa"/>
            <w:shd w:val="clear" w:color="auto" w:fill="auto"/>
          </w:tcPr>
          <w:p w:rsidR="00D775A8" w:rsidRPr="003C4B15" w:rsidRDefault="00D775A8" w:rsidP="008D493F">
            <w:pPr>
              <w:rPr>
                <w:rFonts w:cs="Arial"/>
                <w:sz w:val="20"/>
                <w:szCs w:val="20"/>
              </w:rPr>
            </w:pPr>
          </w:p>
        </w:tc>
        <w:tc>
          <w:tcPr>
            <w:tcW w:w="6520" w:type="dxa"/>
            <w:shd w:val="clear" w:color="auto" w:fill="auto"/>
          </w:tcPr>
          <w:p w:rsidR="00D775A8" w:rsidRDefault="00D775A8" w:rsidP="008D493F">
            <w:pPr>
              <w:rPr>
                <w:rFonts w:cs="Arial"/>
                <w:sz w:val="20"/>
                <w:szCs w:val="20"/>
              </w:rPr>
            </w:pPr>
            <w:r>
              <w:rPr>
                <w:rFonts w:cs="Arial"/>
                <w:sz w:val="20"/>
                <w:szCs w:val="20"/>
              </w:rPr>
              <w:t>No alterations made</w:t>
            </w:r>
          </w:p>
          <w:p w:rsidR="00E20955" w:rsidRDefault="00E20955" w:rsidP="008D493F">
            <w:pPr>
              <w:rPr>
                <w:rFonts w:cs="Arial"/>
                <w:sz w:val="20"/>
                <w:szCs w:val="20"/>
              </w:rPr>
            </w:pPr>
          </w:p>
          <w:p w:rsidR="00E20955" w:rsidRDefault="00E20955" w:rsidP="008D493F">
            <w:pPr>
              <w:rPr>
                <w:rFonts w:cs="Arial"/>
                <w:i/>
                <w:sz w:val="20"/>
                <w:szCs w:val="20"/>
              </w:rPr>
            </w:pPr>
            <w:r w:rsidRPr="00E20955">
              <w:rPr>
                <w:rFonts w:cs="Arial"/>
                <w:i/>
                <w:sz w:val="20"/>
                <w:szCs w:val="20"/>
                <w:u w:val="single"/>
              </w:rPr>
              <w:t>Parameter alteration not taken forward:</w:t>
            </w:r>
            <w:r w:rsidR="00F05055">
              <w:rPr>
                <w:rFonts w:cs="Arial"/>
                <w:i/>
                <w:sz w:val="20"/>
                <w:szCs w:val="20"/>
                <w:u w:val="single"/>
              </w:rPr>
              <w:t xml:space="preserve"> </w:t>
            </w:r>
            <w:r w:rsidR="00F05055" w:rsidRPr="00F05055">
              <w:rPr>
                <w:rFonts w:cs="Arial"/>
                <w:sz w:val="20"/>
                <w:szCs w:val="20"/>
              </w:rPr>
              <w:t>Impact to Adults not further investigated</w:t>
            </w:r>
            <w:r w:rsidR="00F05055" w:rsidRPr="00F05055">
              <w:rPr>
                <w:rFonts w:cs="Arial"/>
                <w:i/>
                <w:sz w:val="20"/>
                <w:szCs w:val="20"/>
              </w:rPr>
              <w:t xml:space="preserve"> </w:t>
            </w:r>
          </w:p>
          <w:p w:rsidR="00F05055" w:rsidRDefault="00F05055" w:rsidP="008D493F">
            <w:pPr>
              <w:rPr>
                <w:rFonts w:cs="Arial"/>
                <w:i/>
                <w:sz w:val="20"/>
                <w:szCs w:val="20"/>
              </w:rPr>
            </w:pPr>
          </w:p>
          <w:p w:rsidR="00F05055" w:rsidRPr="00F05055" w:rsidRDefault="00F05055" w:rsidP="008D493F">
            <w:pPr>
              <w:rPr>
                <w:rFonts w:cs="Arial"/>
                <w:sz w:val="20"/>
                <w:szCs w:val="20"/>
                <w:u w:val="single"/>
              </w:rPr>
            </w:pPr>
            <w:r>
              <w:rPr>
                <w:rFonts w:cs="Arial"/>
                <w:sz w:val="20"/>
                <w:szCs w:val="20"/>
              </w:rPr>
              <w:t xml:space="preserve">The applicant’s submitted model output provides values for juvenile Common Sole only. </w:t>
            </w:r>
            <w:r w:rsidR="00E80A03">
              <w:rPr>
                <w:rFonts w:cs="Arial"/>
                <w:sz w:val="20"/>
                <w:szCs w:val="20"/>
              </w:rPr>
              <w:t xml:space="preserve">However, given the low impact to juveniles. It is not considered that this should be further assessed. </w:t>
            </w:r>
          </w:p>
        </w:tc>
        <w:tc>
          <w:tcPr>
            <w:tcW w:w="1843" w:type="dxa"/>
            <w:shd w:val="clear" w:color="auto" w:fill="auto"/>
          </w:tcPr>
          <w:p w:rsidR="00D775A8" w:rsidRPr="003C4B15" w:rsidRDefault="00E20955" w:rsidP="008D493F">
            <w:pPr>
              <w:rPr>
                <w:rFonts w:cs="Arial"/>
                <w:sz w:val="20"/>
                <w:szCs w:val="20"/>
              </w:rPr>
            </w:pPr>
            <w:r>
              <w:rPr>
                <w:rFonts w:cs="Arial"/>
                <w:sz w:val="20"/>
                <w:szCs w:val="20"/>
              </w:rPr>
              <w:t>N/A</w:t>
            </w:r>
          </w:p>
        </w:tc>
        <w:tc>
          <w:tcPr>
            <w:tcW w:w="2835" w:type="dxa"/>
            <w:shd w:val="clear" w:color="auto" w:fill="auto"/>
          </w:tcPr>
          <w:p w:rsidR="00D775A8" w:rsidRPr="003C4B15" w:rsidRDefault="00E20955" w:rsidP="008D493F">
            <w:pPr>
              <w:rPr>
                <w:rFonts w:cs="Arial"/>
                <w:sz w:val="20"/>
                <w:szCs w:val="20"/>
              </w:rPr>
            </w:pPr>
            <w:r>
              <w:rPr>
                <w:rFonts w:cs="Arial"/>
                <w:sz w:val="20"/>
                <w:szCs w:val="20"/>
              </w:rPr>
              <w:t>N/A</w:t>
            </w:r>
          </w:p>
        </w:tc>
        <w:tc>
          <w:tcPr>
            <w:tcW w:w="1984" w:type="dxa"/>
            <w:shd w:val="clear" w:color="auto" w:fill="auto"/>
          </w:tcPr>
          <w:p w:rsidR="00D775A8" w:rsidRDefault="00D775A8" w:rsidP="008D493F">
            <w:pPr>
              <w:rPr>
                <w:rFonts w:cs="Arial"/>
                <w:sz w:val="20"/>
                <w:szCs w:val="20"/>
              </w:rPr>
            </w:pPr>
            <w:r>
              <w:rPr>
                <w:rFonts w:cs="Arial"/>
                <w:sz w:val="20"/>
                <w:szCs w:val="20"/>
              </w:rPr>
              <w:t xml:space="preserve">Approximately 0.0018% </w:t>
            </w:r>
          </w:p>
        </w:tc>
        <w:tc>
          <w:tcPr>
            <w:tcW w:w="2552" w:type="dxa"/>
            <w:shd w:val="clear" w:color="auto" w:fill="auto"/>
          </w:tcPr>
          <w:p w:rsidR="00D775A8" w:rsidRDefault="00D775A8" w:rsidP="008D493F">
            <w:pPr>
              <w:rPr>
                <w:rFonts w:cs="Arial"/>
                <w:sz w:val="20"/>
                <w:szCs w:val="20"/>
              </w:rPr>
            </w:pPr>
            <w:r>
              <w:rPr>
                <w:rFonts w:cs="Arial"/>
                <w:sz w:val="20"/>
                <w:szCs w:val="20"/>
              </w:rPr>
              <w:t>Negligible turbine impact</w:t>
            </w:r>
          </w:p>
          <w:p w:rsidR="00D775A8" w:rsidRDefault="00D775A8" w:rsidP="008D493F">
            <w:pPr>
              <w:rPr>
                <w:rFonts w:cs="Arial"/>
                <w:sz w:val="20"/>
                <w:szCs w:val="20"/>
              </w:rPr>
            </w:pPr>
          </w:p>
          <w:p w:rsidR="00D775A8" w:rsidRDefault="00D775A8" w:rsidP="008D493F">
            <w:pPr>
              <w:rPr>
                <w:rFonts w:cs="Arial"/>
                <w:sz w:val="20"/>
                <w:szCs w:val="20"/>
              </w:rPr>
            </w:pPr>
            <w:r>
              <w:rPr>
                <w:rFonts w:cs="Arial"/>
                <w:sz w:val="20"/>
                <w:szCs w:val="20"/>
              </w:rPr>
              <w:t>“Insignificant effect”</w:t>
            </w:r>
          </w:p>
        </w:tc>
      </w:tr>
      <w:tr w:rsidR="00D775A8" w:rsidRPr="003C4B15" w:rsidTr="008D493F">
        <w:tc>
          <w:tcPr>
            <w:tcW w:w="1696" w:type="dxa"/>
            <w:shd w:val="clear" w:color="auto" w:fill="auto"/>
          </w:tcPr>
          <w:p w:rsidR="00D775A8" w:rsidRPr="003C4B15" w:rsidRDefault="00D775A8" w:rsidP="008D493F">
            <w:pPr>
              <w:rPr>
                <w:rFonts w:cs="Arial"/>
                <w:sz w:val="20"/>
                <w:szCs w:val="20"/>
              </w:rPr>
            </w:pPr>
            <w:proofErr w:type="spellStart"/>
            <w:r w:rsidRPr="003C4B15">
              <w:rPr>
                <w:rFonts w:cs="Arial"/>
                <w:sz w:val="20"/>
                <w:szCs w:val="20"/>
              </w:rPr>
              <w:t>Sandeel</w:t>
            </w:r>
            <w:proofErr w:type="spellEnd"/>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1.39</w:t>
            </w:r>
          </w:p>
        </w:tc>
        <w:tc>
          <w:tcPr>
            <w:tcW w:w="2268" w:type="dxa"/>
            <w:shd w:val="clear" w:color="auto" w:fill="auto"/>
          </w:tcPr>
          <w:p w:rsidR="00D775A8" w:rsidRPr="003C4B15" w:rsidRDefault="00D775A8" w:rsidP="008D493F">
            <w:pPr>
              <w:rPr>
                <w:rFonts w:cs="Arial"/>
                <w:sz w:val="20"/>
                <w:szCs w:val="20"/>
              </w:rPr>
            </w:pPr>
            <w:r w:rsidRPr="003C4B15">
              <w:rPr>
                <w:rFonts w:cs="Arial"/>
                <w:sz w:val="20"/>
                <w:szCs w:val="20"/>
              </w:rPr>
              <w:t>Low turbine impact category</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“Minor adverse effect”</w:t>
            </w:r>
          </w:p>
        </w:tc>
        <w:tc>
          <w:tcPr>
            <w:tcW w:w="6520" w:type="dxa"/>
            <w:shd w:val="clear" w:color="auto" w:fill="auto"/>
          </w:tcPr>
          <w:p w:rsidR="00E20955" w:rsidRDefault="00E20955" w:rsidP="008D493F">
            <w:pPr>
              <w:rPr>
                <w:rFonts w:cs="Arial"/>
                <w:sz w:val="20"/>
                <w:szCs w:val="20"/>
                <w:u w:val="single"/>
              </w:rPr>
            </w:pPr>
            <w:r>
              <w:rPr>
                <w:rFonts w:cs="Arial"/>
                <w:sz w:val="20"/>
                <w:szCs w:val="20"/>
                <w:u w:val="single"/>
              </w:rPr>
              <w:t>Population present throughout the year</w:t>
            </w:r>
          </w:p>
          <w:p w:rsidR="00E20955" w:rsidRDefault="00E80A03" w:rsidP="008D493F">
            <w:pPr>
              <w:rPr>
                <w:rFonts w:cs="Arial"/>
                <w:sz w:val="20"/>
                <w:szCs w:val="20"/>
                <w:u w:val="single"/>
              </w:rPr>
            </w:pPr>
            <w:r>
              <w:rPr>
                <w:rFonts w:cs="Arial"/>
                <w:sz w:val="20"/>
                <w:szCs w:val="20"/>
              </w:rPr>
              <w:t xml:space="preserve">The applicants submitted ADZ model included an assumption that 1/12 of the population of </w:t>
            </w:r>
            <w:proofErr w:type="spellStart"/>
            <w:r>
              <w:rPr>
                <w:rFonts w:cs="Arial"/>
                <w:sz w:val="20"/>
                <w:szCs w:val="20"/>
              </w:rPr>
              <w:t>Sandeel</w:t>
            </w:r>
            <w:proofErr w:type="spellEnd"/>
            <w:r>
              <w:rPr>
                <w:rFonts w:cs="Arial"/>
                <w:sz w:val="20"/>
                <w:szCs w:val="20"/>
              </w:rPr>
              <w:t xml:space="preserve"> are present each month throughout the year. As </w:t>
            </w:r>
            <w:proofErr w:type="spellStart"/>
            <w:r>
              <w:rPr>
                <w:rFonts w:cs="Arial"/>
                <w:sz w:val="20"/>
                <w:szCs w:val="20"/>
              </w:rPr>
              <w:t>Sandeel</w:t>
            </w:r>
            <w:proofErr w:type="spellEnd"/>
            <w:r>
              <w:rPr>
                <w:rFonts w:cs="Arial"/>
                <w:sz w:val="20"/>
                <w:szCs w:val="20"/>
              </w:rPr>
              <w:t xml:space="preserve"> are not migratory this parameter has been adjusted so that all the population are present throughout the year.</w:t>
            </w:r>
          </w:p>
          <w:p w:rsidR="00E20955" w:rsidRPr="00E20955" w:rsidRDefault="00E20955" w:rsidP="008D493F">
            <w:pPr>
              <w:rPr>
                <w:rFonts w:cs="Arial"/>
                <w:sz w:val="20"/>
                <w:szCs w:val="20"/>
                <w:u w:val="single"/>
              </w:rPr>
            </w:pPr>
          </w:p>
          <w:p w:rsidR="00E20955" w:rsidRPr="00D12517" w:rsidRDefault="00E20955" w:rsidP="008D493F">
            <w:pPr>
              <w:rPr>
                <w:rFonts w:cs="Arial"/>
                <w:sz w:val="20"/>
                <w:szCs w:val="20"/>
              </w:rPr>
            </w:pPr>
            <w:r>
              <w:rPr>
                <w:rFonts w:cs="Arial"/>
                <w:sz w:val="20"/>
                <w:szCs w:val="20"/>
                <w:u w:val="single"/>
              </w:rPr>
              <w:t>Population area</w:t>
            </w:r>
            <w:r w:rsidR="00E80A03">
              <w:rPr>
                <w:rFonts w:cs="Arial"/>
                <w:sz w:val="20"/>
                <w:szCs w:val="20"/>
                <w:u w:val="single"/>
              </w:rPr>
              <w:t xml:space="preserve">: </w:t>
            </w:r>
            <w:r w:rsidR="00E80A03" w:rsidRPr="00D12517">
              <w:rPr>
                <w:rFonts w:cs="Arial"/>
                <w:sz w:val="20"/>
                <w:szCs w:val="20"/>
              </w:rPr>
              <w:t>Swansea Bay or Bristol Channel</w:t>
            </w:r>
          </w:p>
          <w:p w:rsidR="00E80A03" w:rsidRDefault="00D775A8" w:rsidP="008D493F">
            <w:pPr>
              <w:rPr>
                <w:rFonts w:cs="Arial"/>
                <w:sz w:val="20"/>
                <w:szCs w:val="20"/>
              </w:rPr>
            </w:pPr>
            <w:r w:rsidRPr="003C4B15">
              <w:rPr>
                <w:rFonts w:cs="Arial"/>
                <w:sz w:val="20"/>
                <w:szCs w:val="20"/>
              </w:rPr>
              <w:t xml:space="preserve">Population area </w:t>
            </w:r>
            <w:r w:rsidR="00E80A03">
              <w:rPr>
                <w:rFonts w:cs="Arial"/>
                <w:sz w:val="20"/>
                <w:szCs w:val="20"/>
              </w:rPr>
              <w:t xml:space="preserve">utilised with the applicant’s ADZ model sets the population area as Bristol Channel. </w:t>
            </w:r>
          </w:p>
          <w:p w:rsidR="00E80A03" w:rsidRDefault="00E80A03" w:rsidP="008D493F">
            <w:pPr>
              <w:rPr>
                <w:rFonts w:cs="Arial"/>
                <w:sz w:val="20"/>
                <w:szCs w:val="20"/>
              </w:rPr>
            </w:pPr>
          </w:p>
          <w:p w:rsidR="00576949" w:rsidRDefault="00E80A03" w:rsidP="008D493F">
            <w:pPr>
              <w:rPr>
                <w:rFonts w:cs="Arial"/>
                <w:sz w:val="20"/>
                <w:szCs w:val="20"/>
              </w:rPr>
            </w:pPr>
            <w:proofErr w:type="spellStart"/>
            <w:r>
              <w:rPr>
                <w:rFonts w:cs="Arial"/>
                <w:sz w:val="20"/>
                <w:szCs w:val="20"/>
              </w:rPr>
              <w:t>Cefas</w:t>
            </w:r>
            <w:proofErr w:type="spellEnd"/>
            <w:r>
              <w:rPr>
                <w:rFonts w:cs="Arial"/>
                <w:sz w:val="20"/>
                <w:szCs w:val="20"/>
              </w:rPr>
              <w:t xml:space="preserve"> advise that </w:t>
            </w:r>
            <w:proofErr w:type="spellStart"/>
            <w:r>
              <w:rPr>
                <w:rFonts w:cs="Arial"/>
                <w:sz w:val="20"/>
                <w:szCs w:val="20"/>
              </w:rPr>
              <w:t>Sandeel</w:t>
            </w:r>
            <w:proofErr w:type="spellEnd"/>
            <w:r>
              <w:rPr>
                <w:rFonts w:cs="Arial"/>
                <w:sz w:val="20"/>
                <w:szCs w:val="20"/>
              </w:rPr>
              <w:t xml:space="preserve"> are demonstrate a </w:t>
            </w:r>
            <w:r w:rsidR="00576949">
              <w:rPr>
                <w:rFonts w:cs="Arial"/>
                <w:sz w:val="20"/>
                <w:szCs w:val="20"/>
              </w:rPr>
              <w:t xml:space="preserve">high site fidelity to a specific substrate. There is suitable substrate found within Swansea Bay.   If the </w:t>
            </w:r>
            <w:proofErr w:type="spellStart"/>
            <w:r w:rsidR="00576949">
              <w:rPr>
                <w:rFonts w:cs="Arial"/>
                <w:sz w:val="20"/>
                <w:szCs w:val="20"/>
              </w:rPr>
              <w:t>Sandeel</w:t>
            </w:r>
            <w:proofErr w:type="spellEnd"/>
            <w:r w:rsidR="00576949">
              <w:rPr>
                <w:rFonts w:cs="Arial"/>
                <w:sz w:val="20"/>
                <w:szCs w:val="20"/>
              </w:rPr>
              <w:t xml:space="preserve"> population present within Swansea Bay completely mix with those within the Bristol Channel </w:t>
            </w:r>
            <w:r w:rsidR="00E22B15">
              <w:rPr>
                <w:rFonts w:cs="Arial"/>
                <w:sz w:val="20"/>
                <w:szCs w:val="20"/>
              </w:rPr>
              <w:t xml:space="preserve">and that </w:t>
            </w:r>
            <w:r w:rsidR="00576949">
              <w:rPr>
                <w:rFonts w:cs="Arial"/>
                <w:sz w:val="20"/>
                <w:szCs w:val="20"/>
              </w:rPr>
              <w:t>the population present throughout the year</w:t>
            </w:r>
            <w:r w:rsidR="00D775A8" w:rsidRPr="003C4B15">
              <w:rPr>
                <w:rFonts w:cs="Arial"/>
                <w:sz w:val="20"/>
                <w:szCs w:val="20"/>
              </w:rPr>
              <w:t>,</w:t>
            </w:r>
            <w:r w:rsidR="00576949">
              <w:rPr>
                <w:rFonts w:cs="Arial"/>
                <w:sz w:val="20"/>
                <w:szCs w:val="20"/>
              </w:rPr>
              <w:t xml:space="preserve"> the output of the model would be 15%. However, if the </w:t>
            </w:r>
            <w:proofErr w:type="spellStart"/>
            <w:r w:rsidR="00576949">
              <w:rPr>
                <w:rFonts w:cs="Arial"/>
                <w:sz w:val="20"/>
                <w:szCs w:val="20"/>
              </w:rPr>
              <w:t>Sandeel</w:t>
            </w:r>
            <w:proofErr w:type="spellEnd"/>
            <w:r w:rsidR="00576949">
              <w:rPr>
                <w:rFonts w:cs="Arial"/>
                <w:sz w:val="20"/>
                <w:szCs w:val="20"/>
              </w:rPr>
              <w:t xml:space="preserve"> with</w:t>
            </w:r>
            <w:r w:rsidR="00E22B15">
              <w:rPr>
                <w:rFonts w:cs="Arial"/>
                <w:sz w:val="20"/>
                <w:szCs w:val="20"/>
              </w:rPr>
              <w:t>in</w:t>
            </w:r>
            <w:r w:rsidR="00576949">
              <w:rPr>
                <w:rFonts w:cs="Arial"/>
                <w:sz w:val="20"/>
                <w:szCs w:val="20"/>
              </w:rPr>
              <w:t xml:space="preserve"> Swansea Bay form a discrete population and do not mix with the Bristol Channel the model outputs would be 100%. </w:t>
            </w:r>
          </w:p>
          <w:p w:rsidR="00576949" w:rsidRDefault="00576949" w:rsidP="008D493F">
            <w:pPr>
              <w:rPr>
                <w:rFonts w:cs="Arial"/>
                <w:sz w:val="20"/>
                <w:szCs w:val="20"/>
              </w:rPr>
            </w:pPr>
          </w:p>
          <w:p w:rsidR="00D775A8" w:rsidRDefault="00576949" w:rsidP="008D493F">
            <w:pPr>
              <w:rPr>
                <w:rFonts w:cs="Arial"/>
                <w:sz w:val="20"/>
                <w:szCs w:val="20"/>
              </w:rPr>
            </w:pPr>
            <w:r>
              <w:rPr>
                <w:rFonts w:cs="Arial"/>
                <w:sz w:val="20"/>
                <w:szCs w:val="20"/>
              </w:rPr>
              <w:t xml:space="preserve">The extent of the mixing between the Swansea Bay population and Bristol Channel population is unknown, therefore it is not possible to further refine the model output to a single value. </w:t>
            </w:r>
            <w:r w:rsidR="00D775A8" w:rsidRPr="003C4B15">
              <w:rPr>
                <w:rFonts w:cs="Arial"/>
                <w:sz w:val="20"/>
                <w:szCs w:val="20"/>
              </w:rPr>
              <w:t xml:space="preserve"> </w:t>
            </w:r>
          </w:p>
          <w:p w:rsidR="00D775A8" w:rsidRDefault="00D775A8" w:rsidP="008D493F">
            <w:pPr>
              <w:rPr>
                <w:rFonts w:cs="Arial"/>
                <w:sz w:val="20"/>
                <w:szCs w:val="20"/>
              </w:rPr>
            </w:pPr>
          </w:p>
          <w:p w:rsidR="00D775A8" w:rsidRDefault="00D775A8" w:rsidP="008D493F">
            <w:pPr>
              <w:rPr>
                <w:rFonts w:cs="Arial"/>
                <w:sz w:val="20"/>
                <w:szCs w:val="20"/>
              </w:rPr>
            </w:pPr>
          </w:p>
        </w:tc>
        <w:tc>
          <w:tcPr>
            <w:tcW w:w="1843" w:type="dxa"/>
            <w:shd w:val="clear" w:color="auto" w:fill="auto"/>
          </w:tcPr>
          <w:p w:rsidR="00D775A8" w:rsidRPr="003C4B15" w:rsidRDefault="00D775A8" w:rsidP="008D493F">
            <w:pPr>
              <w:rPr>
                <w:rFonts w:cs="Arial"/>
                <w:sz w:val="20"/>
                <w:szCs w:val="20"/>
              </w:rPr>
            </w:pPr>
            <w:r>
              <w:rPr>
                <w:rFonts w:cs="Arial"/>
                <w:sz w:val="20"/>
                <w:szCs w:val="20"/>
              </w:rPr>
              <w:t xml:space="preserve">15-100% </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High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Pr>
                <w:rFonts w:cs="Arial"/>
                <w:sz w:val="20"/>
                <w:szCs w:val="20"/>
              </w:rPr>
              <w:t>“</w:t>
            </w:r>
            <w:r w:rsidRPr="00831C5E">
              <w:rPr>
                <w:rFonts w:cs="Arial"/>
                <w:sz w:val="20"/>
                <w:szCs w:val="20"/>
              </w:rPr>
              <w:t>Moderate Adverse effect</w:t>
            </w:r>
            <w:r w:rsidRPr="003C4B15">
              <w:rPr>
                <w:rFonts w:cs="Arial"/>
                <w:sz w:val="20"/>
                <w:szCs w:val="20"/>
              </w:rPr>
              <w:t>”</w:t>
            </w:r>
          </w:p>
        </w:tc>
        <w:tc>
          <w:tcPr>
            <w:tcW w:w="1984" w:type="dxa"/>
            <w:shd w:val="clear" w:color="auto" w:fill="auto"/>
          </w:tcPr>
          <w:p w:rsidR="00D775A8" w:rsidRDefault="00D775A8" w:rsidP="008D493F">
            <w:pPr>
              <w:rPr>
                <w:rFonts w:cs="Arial"/>
                <w:sz w:val="20"/>
                <w:szCs w:val="20"/>
              </w:rPr>
            </w:pPr>
            <w:r>
              <w:rPr>
                <w:rFonts w:cs="Arial"/>
                <w:sz w:val="20"/>
                <w:szCs w:val="20"/>
              </w:rPr>
              <w:t>15- 100%</w:t>
            </w:r>
          </w:p>
        </w:tc>
        <w:tc>
          <w:tcPr>
            <w:tcW w:w="2552" w:type="dxa"/>
            <w:shd w:val="clear" w:color="auto" w:fill="auto"/>
          </w:tcPr>
          <w:p w:rsidR="00D775A8" w:rsidRDefault="00D775A8" w:rsidP="008D493F">
            <w:pPr>
              <w:rPr>
                <w:rFonts w:cs="Arial"/>
                <w:sz w:val="20"/>
                <w:szCs w:val="20"/>
              </w:rPr>
            </w:pPr>
            <w:r>
              <w:rPr>
                <w:rFonts w:cs="Arial"/>
                <w:sz w:val="20"/>
                <w:szCs w:val="20"/>
              </w:rPr>
              <w:t xml:space="preserve">High turbine impact </w:t>
            </w:r>
          </w:p>
          <w:p w:rsidR="00D775A8" w:rsidRDefault="00D775A8" w:rsidP="008D493F">
            <w:pPr>
              <w:rPr>
                <w:rFonts w:cs="Arial"/>
                <w:sz w:val="20"/>
                <w:szCs w:val="20"/>
              </w:rPr>
            </w:pPr>
          </w:p>
          <w:p w:rsidR="00D775A8" w:rsidRDefault="00D775A8" w:rsidP="008D493F">
            <w:pPr>
              <w:rPr>
                <w:rFonts w:cs="Arial"/>
                <w:sz w:val="20"/>
                <w:szCs w:val="20"/>
              </w:rPr>
            </w:pPr>
            <w:r>
              <w:rPr>
                <w:rFonts w:cs="Arial"/>
                <w:sz w:val="20"/>
                <w:szCs w:val="20"/>
              </w:rPr>
              <w:t>“Moderate Adverse Effect”</w:t>
            </w: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Cod/whiting</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2.26</w:t>
            </w:r>
          </w:p>
        </w:tc>
        <w:tc>
          <w:tcPr>
            <w:tcW w:w="2268" w:type="dxa"/>
            <w:shd w:val="clear" w:color="auto" w:fill="auto"/>
          </w:tcPr>
          <w:p w:rsidR="00D775A8" w:rsidRPr="003C4B15" w:rsidRDefault="00D775A8" w:rsidP="008D493F">
            <w:pPr>
              <w:rPr>
                <w:rFonts w:cs="Arial"/>
                <w:sz w:val="20"/>
                <w:szCs w:val="20"/>
              </w:rPr>
            </w:pPr>
            <w:r w:rsidRPr="003C4B15">
              <w:rPr>
                <w:rFonts w:cs="Arial"/>
                <w:sz w:val="20"/>
                <w:szCs w:val="20"/>
              </w:rPr>
              <w:t>Medium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“Moderate adverse effect”</w:t>
            </w:r>
          </w:p>
        </w:tc>
        <w:tc>
          <w:tcPr>
            <w:tcW w:w="6520" w:type="dxa"/>
            <w:shd w:val="clear" w:color="auto" w:fill="auto"/>
          </w:tcPr>
          <w:p w:rsidR="00D775A8" w:rsidRPr="003C4B15" w:rsidRDefault="00D775A8" w:rsidP="008D493F">
            <w:pPr>
              <w:rPr>
                <w:rFonts w:cs="Arial"/>
                <w:sz w:val="20"/>
                <w:szCs w:val="20"/>
              </w:rPr>
            </w:pPr>
            <w:r>
              <w:rPr>
                <w:rFonts w:cs="Arial"/>
                <w:sz w:val="20"/>
                <w:szCs w:val="20"/>
              </w:rPr>
              <w:t xml:space="preserve">No parameter alterations </w:t>
            </w:r>
          </w:p>
        </w:tc>
        <w:tc>
          <w:tcPr>
            <w:tcW w:w="1843" w:type="dxa"/>
            <w:shd w:val="clear" w:color="auto" w:fill="auto"/>
          </w:tcPr>
          <w:p w:rsidR="00D775A8" w:rsidRPr="003C4B15" w:rsidRDefault="00D775A8" w:rsidP="008D493F">
            <w:pPr>
              <w:rPr>
                <w:rFonts w:cs="Arial"/>
                <w:sz w:val="20"/>
                <w:szCs w:val="20"/>
              </w:rPr>
            </w:pPr>
            <w:r w:rsidRPr="003C4B15">
              <w:rPr>
                <w:rFonts w:cs="Arial"/>
                <w:sz w:val="20"/>
                <w:szCs w:val="20"/>
              </w:rPr>
              <w:t>2.26</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Medium turbine impact</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“Moderate adverse effect”</w:t>
            </w:r>
          </w:p>
        </w:tc>
        <w:tc>
          <w:tcPr>
            <w:tcW w:w="1984" w:type="dxa"/>
            <w:shd w:val="clear" w:color="auto" w:fill="auto"/>
          </w:tcPr>
          <w:p w:rsidR="00D775A8" w:rsidRDefault="00D775A8" w:rsidP="008D493F">
            <w:pPr>
              <w:rPr>
                <w:rFonts w:cs="Arial"/>
                <w:sz w:val="20"/>
                <w:szCs w:val="20"/>
              </w:rPr>
            </w:pPr>
            <w:r>
              <w:rPr>
                <w:rFonts w:cs="Arial"/>
                <w:sz w:val="20"/>
                <w:szCs w:val="20"/>
              </w:rPr>
              <w:t>Approximately 2 %</w:t>
            </w:r>
          </w:p>
        </w:tc>
        <w:tc>
          <w:tcPr>
            <w:tcW w:w="2552" w:type="dxa"/>
            <w:shd w:val="clear" w:color="auto" w:fill="auto"/>
          </w:tcPr>
          <w:p w:rsidR="00D775A8" w:rsidRDefault="00D775A8" w:rsidP="008D493F">
            <w:pPr>
              <w:rPr>
                <w:rFonts w:cs="Arial"/>
                <w:sz w:val="20"/>
                <w:szCs w:val="20"/>
              </w:rPr>
            </w:pPr>
            <w:r>
              <w:rPr>
                <w:rFonts w:cs="Arial"/>
                <w:sz w:val="20"/>
                <w:szCs w:val="20"/>
              </w:rPr>
              <w:t>Medium Turbine Impact</w:t>
            </w:r>
          </w:p>
          <w:p w:rsidR="00D775A8" w:rsidRDefault="00D775A8" w:rsidP="008D493F">
            <w:pPr>
              <w:rPr>
                <w:rFonts w:cs="Arial"/>
                <w:sz w:val="20"/>
                <w:szCs w:val="20"/>
              </w:rPr>
            </w:pPr>
          </w:p>
          <w:p w:rsidR="00D775A8" w:rsidRDefault="00D775A8" w:rsidP="008D493F">
            <w:pPr>
              <w:rPr>
                <w:rFonts w:cs="Arial"/>
                <w:sz w:val="20"/>
                <w:szCs w:val="20"/>
              </w:rPr>
            </w:pPr>
            <w:r w:rsidRPr="003C4B15">
              <w:rPr>
                <w:rFonts w:cs="Arial"/>
                <w:sz w:val="20"/>
                <w:szCs w:val="20"/>
              </w:rPr>
              <w:t>“Moderate adverse effect”</w:t>
            </w: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Plaice</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0.03</w:t>
            </w:r>
          </w:p>
        </w:tc>
        <w:tc>
          <w:tcPr>
            <w:tcW w:w="2268" w:type="dxa"/>
            <w:shd w:val="clear" w:color="auto" w:fill="auto"/>
          </w:tcPr>
          <w:p w:rsidR="00D775A8" w:rsidRDefault="00D12517" w:rsidP="008D493F">
            <w:pPr>
              <w:rPr>
                <w:rFonts w:cs="Arial"/>
                <w:sz w:val="20"/>
                <w:szCs w:val="20"/>
              </w:rPr>
            </w:pPr>
            <w:r>
              <w:rPr>
                <w:rFonts w:cs="Arial"/>
                <w:sz w:val="20"/>
                <w:szCs w:val="20"/>
              </w:rPr>
              <w:t xml:space="preserve">Negligible turbine impact </w:t>
            </w:r>
          </w:p>
          <w:p w:rsidR="00D12517" w:rsidRDefault="00D12517" w:rsidP="008D493F">
            <w:pPr>
              <w:rPr>
                <w:rFonts w:cs="Arial"/>
                <w:sz w:val="20"/>
                <w:szCs w:val="20"/>
              </w:rPr>
            </w:pPr>
          </w:p>
          <w:p w:rsidR="00D12517" w:rsidRPr="003C4B15" w:rsidRDefault="00D12517" w:rsidP="008D493F">
            <w:pPr>
              <w:rPr>
                <w:rFonts w:cs="Arial"/>
                <w:sz w:val="20"/>
                <w:szCs w:val="20"/>
              </w:rPr>
            </w:pPr>
            <w:r>
              <w:rPr>
                <w:rFonts w:cs="Arial"/>
                <w:sz w:val="20"/>
                <w:szCs w:val="20"/>
              </w:rPr>
              <w:t>“Insignificant Effect”</w:t>
            </w:r>
          </w:p>
        </w:tc>
        <w:tc>
          <w:tcPr>
            <w:tcW w:w="6520" w:type="dxa"/>
            <w:shd w:val="clear" w:color="auto" w:fill="auto"/>
          </w:tcPr>
          <w:p w:rsidR="00D775A8" w:rsidRPr="003C4B15" w:rsidRDefault="00D775A8" w:rsidP="008D493F">
            <w:pPr>
              <w:rPr>
                <w:rFonts w:cs="Arial"/>
                <w:sz w:val="20"/>
                <w:szCs w:val="20"/>
              </w:rPr>
            </w:pPr>
            <w:r>
              <w:rPr>
                <w:rFonts w:cs="Arial"/>
                <w:sz w:val="20"/>
                <w:szCs w:val="20"/>
              </w:rPr>
              <w:t xml:space="preserve">No parameter alterations </w:t>
            </w:r>
          </w:p>
        </w:tc>
        <w:tc>
          <w:tcPr>
            <w:tcW w:w="1843" w:type="dxa"/>
            <w:shd w:val="clear" w:color="auto" w:fill="auto"/>
          </w:tcPr>
          <w:p w:rsidR="00D775A8" w:rsidRPr="003C4B15" w:rsidRDefault="00E20955" w:rsidP="008D493F">
            <w:pPr>
              <w:rPr>
                <w:rFonts w:cs="Arial"/>
                <w:sz w:val="20"/>
                <w:szCs w:val="20"/>
              </w:rPr>
            </w:pPr>
            <w:r>
              <w:rPr>
                <w:rFonts w:cs="Arial"/>
                <w:sz w:val="20"/>
                <w:szCs w:val="20"/>
              </w:rPr>
              <w:t>N/A</w:t>
            </w:r>
          </w:p>
        </w:tc>
        <w:tc>
          <w:tcPr>
            <w:tcW w:w="2835" w:type="dxa"/>
            <w:shd w:val="clear" w:color="auto" w:fill="auto"/>
          </w:tcPr>
          <w:p w:rsidR="00D775A8" w:rsidRPr="003C4B15" w:rsidRDefault="00E20955" w:rsidP="008D493F">
            <w:pPr>
              <w:rPr>
                <w:rFonts w:cs="Arial"/>
                <w:sz w:val="20"/>
                <w:szCs w:val="20"/>
              </w:rPr>
            </w:pPr>
            <w:r>
              <w:rPr>
                <w:rFonts w:cs="Arial"/>
                <w:sz w:val="20"/>
                <w:szCs w:val="20"/>
              </w:rPr>
              <w:t>N/A</w:t>
            </w:r>
          </w:p>
        </w:tc>
        <w:tc>
          <w:tcPr>
            <w:tcW w:w="1984" w:type="dxa"/>
            <w:shd w:val="clear" w:color="auto" w:fill="auto"/>
          </w:tcPr>
          <w:p w:rsidR="00D775A8" w:rsidRDefault="00D775A8" w:rsidP="008D493F">
            <w:pPr>
              <w:rPr>
                <w:rFonts w:cs="Arial"/>
                <w:sz w:val="20"/>
                <w:szCs w:val="20"/>
              </w:rPr>
            </w:pPr>
            <w:r>
              <w:rPr>
                <w:rFonts w:cs="Arial"/>
                <w:sz w:val="20"/>
                <w:szCs w:val="20"/>
              </w:rPr>
              <w:t>Approximately 0.03 %</w:t>
            </w:r>
          </w:p>
        </w:tc>
        <w:tc>
          <w:tcPr>
            <w:tcW w:w="2552" w:type="dxa"/>
            <w:shd w:val="clear" w:color="auto" w:fill="auto"/>
          </w:tcPr>
          <w:p w:rsidR="00D775A8" w:rsidRDefault="00D775A8" w:rsidP="008D493F">
            <w:pPr>
              <w:rPr>
                <w:rFonts w:cs="Arial"/>
                <w:sz w:val="20"/>
                <w:szCs w:val="20"/>
              </w:rPr>
            </w:pPr>
            <w:r>
              <w:rPr>
                <w:rFonts w:cs="Arial"/>
                <w:sz w:val="20"/>
                <w:szCs w:val="20"/>
              </w:rPr>
              <w:t xml:space="preserve">Negligible Turbine Impact </w:t>
            </w:r>
          </w:p>
          <w:p w:rsidR="00D775A8" w:rsidRDefault="00D775A8" w:rsidP="008D493F">
            <w:pPr>
              <w:rPr>
                <w:rFonts w:cs="Arial"/>
                <w:sz w:val="20"/>
                <w:szCs w:val="20"/>
              </w:rPr>
            </w:pPr>
          </w:p>
          <w:p w:rsidR="00D775A8" w:rsidRDefault="00D775A8" w:rsidP="008D493F">
            <w:pPr>
              <w:rPr>
                <w:rFonts w:cs="Arial"/>
                <w:sz w:val="20"/>
                <w:szCs w:val="20"/>
              </w:rPr>
            </w:pPr>
            <w:r>
              <w:rPr>
                <w:rFonts w:cs="Arial"/>
                <w:sz w:val="20"/>
                <w:szCs w:val="20"/>
              </w:rPr>
              <w:t>“Insignificant Effect”</w:t>
            </w:r>
          </w:p>
        </w:tc>
      </w:tr>
      <w:tr w:rsidR="00D775A8" w:rsidRPr="003C4B15" w:rsidTr="008D493F">
        <w:tc>
          <w:tcPr>
            <w:tcW w:w="1696" w:type="dxa"/>
            <w:shd w:val="clear" w:color="auto" w:fill="auto"/>
          </w:tcPr>
          <w:p w:rsidR="00D775A8" w:rsidRPr="003C4B15" w:rsidRDefault="00D775A8" w:rsidP="008D493F">
            <w:pPr>
              <w:rPr>
                <w:rFonts w:cs="Arial"/>
                <w:sz w:val="20"/>
                <w:szCs w:val="20"/>
              </w:rPr>
            </w:pPr>
            <w:r w:rsidRPr="003C4B15">
              <w:rPr>
                <w:rFonts w:cs="Arial"/>
                <w:sz w:val="20"/>
                <w:szCs w:val="20"/>
              </w:rPr>
              <w:t>Bass</w:t>
            </w:r>
          </w:p>
        </w:tc>
        <w:tc>
          <w:tcPr>
            <w:tcW w:w="1560" w:type="dxa"/>
            <w:shd w:val="clear" w:color="auto" w:fill="auto"/>
          </w:tcPr>
          <w:p w:rsidR="00D775A8" w:rsidRPr="003C4B15" w:rsidRDefault="00D775A8" w:rsidP="008D493F">
            <w:pPr>
              <w:rPr>
                <w:rFonts w:cs="Arial"/>
                <w:sz w:val="20"/>
                <w:szCs w:val="20"/>
              </w:rPr>
            </w:pPr>
            <w:r w:rsidRPr="003C4B15">
              <w:rPr>
                <w:rFonts w:cs="Arial"/>
                <w:sz w:val="20"/>
                <w:szCs w:val="20"/>
              </w:rPr>
              <w:t>0.96</w:t>
            </w:r>
          </w:p>
        </w:tc>
        <w:tc>
          <w:tcPr>
            <w:tcW w:w="2268" w:type="dxa"/>
            <w:shd w:val="clear" w:color="auto" w:fill="auto"/>
          </w:tcPr>
          <w:p w:rsidR="00D775A8" w:rsidRPr="003C4B15" w:rsidRDefault="00D775A8" w:rsidP="008D493F">
            <w:pPr>
              <w:rPr>
                <w:rFonts w:cs="Arial"/>
                <w:sz w:val="20"/>
                <w:szCs w:val="20"/>
              </w:rPr>
            </w:pPr>
            <w:r w:rsidRPr="003C4B15">
              <w:rPr>
                <w:rFonts w:cs="Arial"/>
                <w:sz w:val="20"/>
                <w:szCs w:val="20"/>
              </w:rPr>
              <w:t>Low turbine impact category</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“Minor adverse effect”</w:t>
            </w:r>
          </w:p>
        </w:tc>
        <w:tc>
          <w:tcPr>
            <w:tcW w:w="6520" w:type="dxa"/>
            <w:shd w:val="clear" w:color="auto" w:fill="auto"/>
          </w:tcPr>
          <w:p w:rsidR="00D775A8" w:rsidRPr="003C4B15" w:rsidRDefault="00D775A8" w:rsidP="008D493F">
            <w:pPr>
              <w:rPr>
                <w:rFonts w:cs="Arial"/>
                <w:sz w:val="20"/>
                <w:szCs w:val="20"/>
              </w:rPr>
            </w:pPr>
            <w:r>
              <w:rPr>
                <w:rFonts w:cs="Arial"/>
                <w:sz w:val="20"/>
                <w:szCs w:val="20"/>
              </w:rPr>
              <w:t xml:space="preserve">No parameter alterations  </w:t>
            </w:r>
          </w:p>
        </w:tc>
        <w:tc>
          <w:tcPr>
            <w:tcW w:w="1843" w:type="dxa"/>
            <w:shd w:val="clear" w:color="auto" w:fill="auto"/>
          </w:tcPr>
          <w:p w:rsidR="00D775A8" w:rsidRPr="003C4B15" w:rsidRDefault="00D775A8" w:rsidP="008D493F">
            <w:pPr>
              <w:rPr>
                <w:rFonts w:cs="Arial"/>
                <w:sz w:val="20"/>
                <w:szCs w:val="20"/>
              </w:rPr>
            </w:pPr>
            <w:r w:rsidRPr="003C4B15">
              <w:rPr>
                <w:rFonts w:cs="Arial"/>
                <w:sz w:val="20"/>
                <w:szCs w:val="20"/>
              </w:rPr>
              <w:t>0.96</w:t>
            </w:r>
          </w:p>
        </w:tc>
        <w:tc>
          <w:tcPr>
            <w:tcW w:w="2835" w:type="dxa"/>
            <w:shd w:val="clear" w:color="auto" w:fill="auto"/>
          </w:tcPr>
          <w:p w:rsidR="00D775A8" w:rsidRPr="003C4B15" w:rsidRDefault="00D775A8" w:rsidP="008D493F">
            <w:pPr>
              <w:rPr>
                <w:rFonts w:cs="Arial"/>
                <w:sz w:val="20"/>
                <w:szCs w:val="20"/>
              </w:rPr>
            </w:pPr>
            <w:r w:rsidRPr="003C4B15">
              <w:rPr>
                <w:rFonts w:cs="Arial"/>
                <w:sz w:val="20"/>
                <w:szCs w:val="20"/>
              </w:rPr>
              <w:t>Low turbine impact category</w:t>
            </w:r>
          </w:p>
          <w:p w:rsidR="00D775A8" w:rsidRPr="003C4B15" w:rsidRDefault="00D775A8" w:rsidP="008D493F">
            <w:pPr>
              <w:rPr>
                <w:rFonts w:cs="Arial"/>
                <w:sz w:val="20"/>
                <w:szCs w:val="20"/>
              </w:rPr>
            </w:pPr>
          </w:p>
          <w:p w:rsidR="00D775A8" w:rsidRPr="003C4B15" w:rsidRDefault="00D775A8" w:rsidP="008D493F">
            <w:pPr>
              <w:rPr>
                <w:rFonts w:cs="Arial"/>
                <w:sz w:val="20"/>
                <w:szCs w:val="20"/>
              </w:rPr>
            </w:pPr>
            <w:r w:rsidRPr="003C4B15">
              <w:rPr>
                <w:rFonts w:cs="Arial"/>
                <w:sz w:val="20"/>
                <w:szCs w:val="20"/>
              </w:rPr>
              <w:t>“Minor adverse effect”</w:t>
            </w:r>
          </w:p>
        </w:tc>
        <w:tc>
          <w:tcPr>
            <w:tcW w:w="1984" w:type="dxa"/>
            <w:shd w:val="clear" w:color="auto" w:fill="auto"/>
          </w:tcPr>
          <w:p w:rsidR="00D775A8" w:rsidRDefault="00D775A8" w:rsidP="008D493F">
            <w:pPr>
              <w:rPr>
                <w:rFonts w:cs="Arial"/>
                <w:sz w:val="20"/>
                <w:szCs w:val="20"/>
              </w:rPr>
            </w:pPr>
            <w:r>
              <w:rPr>
                <w:rFonts w:cs="Arial"/>
                <w:sz w:val="20"/>
                <w:szCs w:val="20"/>
              </w:rPr>
              <w:t>Approximately 0.96 %</w:t>
            </w:r>
          </w:p>
        </w:tc>
        <w:tc>
          <w:tcPr>
            <w:tcW w:w="2552" w:type="dxa"/>
            <w:shd w:val="clear" w:color="auto" w:fill="auto"/>
          </w:tcPr>
          <w:p w:rsidR="00D775A8" w:rsidRDefault="00D775A8" w:rsidP="008D493F">
            <w:pPr>
              <w:rPr>
                <w:rFonts w:cs="Arial"/>
                <w:sz w:val="20"/>
                <w:szCs w:val="20"/>
              </w:rPr>
            </w:pPr>
            <w:r>
              <w:rPr>
                <w:rFonts w:cs="Arial"/>
                <w:sz w:val="20"/>
                <w:szCs w:val="20"/>
              </w:rPr>
              <w:t>Negligible Turbine Impact</w:t>
            </w:r>
          </w:p>
          <w:p w:rsidR="00D775A8" w:rsidRDefault="00D775A8" w:rsidP="008D493F">
            <w:pPr>
              <w:rPr>
                <w:rFonts w:cs="Arial"/>
                <w:sz w:val="20"/>
                <w:szCs w:val="20"/>
              </w:rPr>
            </w:pPr>
          </w:p>
          <w:p w:rsidR="00D775A8" w:rsidRDefault="00D775A8" w:rsidP="008D493F">
            <w:pPr>
              <w:rPr>
                <w:rFonts w:cs="Arial"/>
                <w:sz w:val="20"/>
                <w:szCs w:val="20"/>
              </w:rPr>
            </w:pPr>
            <w:r>
              <w:rPr>
                <w:rFonts w:cs="Arial"/>
                <w:sz w:val="20"/>
                <w:szCs w:val="20"/>
              </w:rPr>
              <w:t>“Insignificant Effect”</w:t>
            </w:r>
          </w:p>
        </w:tc>
      </w:tr>
    </w:tbl>
    <w:p w:rsidR="00F34352" w:rsidRDefault="00F34352" w:rsidP="008D493F"/>
    <w:p w:rsidR="001272C7" w:rsidRDefault="001272C7">
      <w:pPr>
        <w:spacing w:after="160" w:line="259" w:lineRule="auto"/>
      </w:pPr>
      <w:bookmarkStart w:id="0" w:name="_GoBack"/>
    </w:p>
    <w:p w:rsidR="001272C7" w:rsidRDefault="001272C7">
      <w:pPr>
        <w:sectPr w:rsidR="001272C7" w:rsidSect="001A47D0">
          <w:pgSz w:w="23814" w:h="16839" w:orient="landscape" w:code="8"/>
          <w:pgMar w:top="1440" w:right="1440" w:bottom="1440" w:left="1440" w:header="708" w:footer="708" w:gutter="0"/>
          <w:cols w:space="708"/>
          <w:docGrid w:linePitch="360"/>
        </w:sectPr>
      </w:pPr>
    </w:p>
    <w:bookmarkEnd w:id="0"/>
    <w:p w:rsidR="001272C7" w:rsidRDefault="001272C7" w:rsidP="001272C7">
      <w:pPr>
        <w:rPr>
          <w:rFonts w:asciiTheme="minorHAnsi" w:hAnsiTheme="minorHAnsi" w:cstheme="minorBidi"/>
          <w:b/>
          <w:sz w:val="22"/>
          <w:szCs w:val="22"/>
        </w:rPr>
      </w:pPr>
      <w:r>
        <w:rPr>
          <w:rFonts w:asciiTheme="minorHAnsi" w:hAnsiTheme="minorHAnsi" w:cstheme="minorBidi"/>
          <w:b/>
          <w:sz w:val="22"/>
          <w:szCs w:val="22"/>
        </w:rPr>
        <w:lastRenderedPageBreak/>
        <w:t>ENVIRONMENTAL STATEMENT MATRICES</w:t>
      </w:r>
    </w:p>
    <w:p w:rsidR="001272C7" w:rsidRDefault="001272C7" w:rsidP="001272C7">
      <w:pPr>
        <w:rPr>
          <w:rFonts w:asciiTheme="minorHAnsi" w:hAnsiTheme="minorHAnsi" w:cstheme="minorBidi"/>
          <w:b/>
          <w:sz w:val="22"/>
          <w:szCs w:val="22"/>
        </w:rPr>
      </w:pPr>
    </w:p>
    <w:p w:rsidR="001272C7" w:rsidRDefault="001272C7" w:rsidP="001272C7">
      <w:pPr>
        <w:rPr>
          <w:rFonts w:asciiTheme="minorHAnsi" w:hAnsiTheme="minorHAnsi" w:cstheme="minorBidi"/>
          <w:b/>
          <w:sz w:val="22"/>
          <w:szCs w:val="22"/>
        </w:rPr>
      </w:pPr>
    </w:p>
    <w:p w:rsidR="001272C7" w:rsidRDefault="001272C7" w:rsidP="001272C7">
      <w:pPr>
        <w:rPr>
          <w:rFonts w:asciiTheme="minorHAnsi" w:hAnsiTheme="minorHAnsi" w:cstheme="minorBidi"/>
          <w:b/>
          <w:sz w:val="22"/>
          <w:szCs w:val="22"/>
        </w:rPr>
      </w:pPr>
    </w:p>
    <w:p w:rsidR="001272C7" w:rsidRDefault="001272C7" w:rsidP="001272C7">
      <w:pPr>
        <w:rPr>
          <w:rFonts w:asciiTheme="minorHAnsi" w:hAnsiTheme="minorHAnsi" w:cstheme="minorBidi"/>
          <w:b/>
          <w:sz w:val="22"/>
          <w:szCs w:val="22"/>
        </w:rPr>
      </w:pPr>
      <w:r w:rsidRPr="00586C6C">
        <w:rPr>
          <w:rFonts w:asciiTheme="minorHAnsi" w:hAnsiTheme="minorHAnsi" w:cstheme="minorBidi"/>
          <w:b/>
          <w:sz w:val="22"/>
          <w:szCs w:val="22"/>
        </w:rPr>
        <w:t>Criteria used to classify the magnitude of impacts on fish and shellfish (From Environmental Statement Table 9.5, updated in further information submission of 14th July 2016 “Fisheries matters not agreed requiring clarification</w:t>
      </w:r>
      <w:r w:rsidR="00E22B15">
        <w:rPr>
          <w:rFonts w:asciiTheme="minorHAnsi" w:hAnsiTheme="minorHAnsi" w:cstheme="minorBidi"/>
          <w:b/>
          <w:sz w:val="22"/>
          <w:szCs w:val="22"/>
        </w:rPr>
        <w:t>”</w:t>
      </w:r>
      <w:r w:rsidRPr="00586C6C">
        <w:rPr>
          <w:rFonts w:asciiTheme="minorHAnsi" w:hAnsiTheme="minorHAnsi" w:cstheme="minorBidi"/>
          <w:b/>
          <w:sz w:val="22"/>
          <w:szCs w:val="22"/>
        </w:rPr>
        <w:t>)</w:t>
      </w:r>
    </w:p>
    <w:p w:rsidR="001272C7" w:rsidRDefault="001272C7" w:rsidP="001272C7">
      <w:pPr>
        <w:rPr>
          <w:rFonts w:asciiTheme="minorHAnsi" w:hAnsiTheme="minorHAnsi" w:cstheme="minorBidi"/>
          <w:b/>
          <w:sz w:val="22"/>
          <w:szCs w:val="22"/>
        </w:rPr>
      </w:pPr>
    </w:p>
    <w:p w:rsidR="001272C7" w:rsidRDefault="001272C7" w:rsidP="001272C7">
      <w:pPr>
        <w:rPr>
          <w:rFonts w:asciiTheme="minorHAnsi" w:hAnsiTheme="minorHAnsi" w:cstheme="minorBidi"/>
          <w:b/>
          <w:sz w:val="22"/>
          <w:szCs w:val="22"/>
        </w:rPr>
      </w:pPr>
    </w:p>
    <w:tbl>
      <w:tblPr>
        <w:tblStyle w:val="TableGrid"/>
        <w:tblpPr w:leftFromText="180" w:rightFromText="180" w:vertAnchor="page" w:horzAnchor="margin" w:tblpY="3526"/>
        <w:tblW w:w="0" w:type="auto"/>
        <w:tblLook w:val="04A0" w:firstRow="1" w:lastRow="0" w:firstColumn="1" w:lastColumn="0" w:noHBand="0" w:noVBand="1"/>
      </w:tblPr>
      <w:tblGrid>
        <w:gridCol w:w="3823"/>
        <w:gridCol w:w="5193"/>
      </w:tblGrid>
      <w:tr w:rsidR="001272C7" w:rsidRPr="00586C6C" w:rsidTr="001272C7">
        <w:tc>
          <w:tcPr>
            <w:tcW w:w="3823" w:type="dxa"/>
            <w:shd w:val="clear" w:color="auto" w:fill="BFBFBF" w:themeFill="background1" w:themeFillShade="BF"/>
          </w:tcPr>
          <w:p w:rsidR="001272C7" w:rsidRPr="00586C6C" w:rsidRDefault="001272C7" w:rsidP="001272C7">
            <w:pPr>
              <w:tabs>
                <w:tab w:val="left" w:pos="1410"/>
              </w:tabs>
              <w:rPr>
                <w:rFonts w:asciiTheme="minorHAnsi" w:hAnsiTheme="minorHAnsi"/>
                <w:sz w:val="22"/>
                <w:szCs w:val="22"/>
              </w:rPr>
            </w:pPr>
            <w:r w:rsidRPr="00586C6C">
              <w:rPr>
                <w:rFonts w:asciiTheme="minorHAnsi" w:hAnsiTheme="minorHAnsi"/>
                <w:sz w:val="22"/>
                <w:szCs w:val="22"/>
              </w:rPr>
              <w:tab/>
            </w:r>
            <w:r w:rsidRPr="00586C6C">
              <w:rPr>
                <w:rFonts w:asciiTheme="minorHAnsi" w:hAnsiTheme="minorHAnsi" w:cs="Calibri,Bold"/>
                <w:b/>
                <w:bCs/>
                <w:sz w:val="22"/>
                <w:szCs w:val="22"/>
              </w:rPr>
              <w:t>Impact Magnitude</w:t>
            </w:r>
          </w:p>
        </w:tc>
        <w:tc>
          <w:tcPr>
            <w:tcW w:w="5193" w:type="dxa"/>
            <w:shd w:val="clear" w:color="auto" w:fill="BFBFBF" w:themeFill="background1" w:themeFillShade="BF"/>
          </w:tcPr>
          <w:p w:rsidR="001272C7" w:rsidRPr="00586C6C" w:rsidRDefault="001272C7" w:rsidP="001272C7">
            <w:pPr>
              <w:rPr>
                <w:rFonts w:asciiTheme="minorHAnsi" w:hAnsiTheme="minorHAnsi"/>
                <w:sz w:val="22"/>
                <w:szCs w:val="22"/>
              </w:rPr>
            </w:pPr>
            <w:r w:rsidRPr="00586C6C">
              <w:rPr>
                <w:rFonts w:asciiTheme="minorHAnsi" w:hAnsiTheme="minorHAnsi" w:cs="Calibri,Bold"/>
                <w:b/>
                <w:bCs/>
                <w:sz w:val="22"/>
                <w:szCs w:val="22"/>
              </w:rPr>
              <w:t>Annual Mortality Rate Due to Turbine Passage only</w:t>
            </w:r>
          </w:p>
        </w:tc>
      </w:tr>
      <w:tr w:rsidR="001272C7" w:rsidRPr="00586C6C" w:rsidTr="001272C7">
        <w:tc>
          <w:tcPr>
            <w:tcW w:w="3823" w:type="dxa"/>
          </w:tcPr>
          <w:p w:rsidR="001272C7" w:rsidRPr="00586C6C" w:rsidRDefault="001272C7" w:rsidP="001272C7">
            <w:pPr>
              <w:tabs>
                <w:tab w:val="left" w:pos="1410"/>
              </w:tabs>
              <w:jc w:val="center"/>
              <w:rPr>
                <w:rFonts w:asciiTheme="minorHAnsi" w:hAnsiTheme="minorHAnsi"/>
                <w:sz w:val="22"/>
                <w:szCs w:val="22"/>
              </w:rPr>
            </w:pPr>
            <w:r w:rsidRPr="00586C6C">
              <w:rPr>
                <w:rFonts w:asciiTheme="minorHAnsi" w:hAnsiTheme="minorHAnsi"/>
                <w:sz w:val="22"/>
                <w:szCs w:val="22"/>
              </w:rPr>
              <w:t>High</w:t>
            </w:r>
          </w:p>
        </w:tc>
        <w:tc>
          <w:tcPr>
            <w:tcW w:w="5193" w:type="dxa"/>
          </w:tcPr>
          <w:p w:rsidR="001272C7" w:rsidRPr="00586C6C" w:rsidRDefault="001272C7" w:rsidP="001272C7">
            <w:pPr>
              <w:rPr>
                <w:rFonts w:asciiTheme="minorHAnsi" w:hAnsiTheme="minorHAnsi" w:cs="Calibri,Bold"/>
                <w:bCs/>
                <w:sz w:val="22"/>
                <w:szCs w:val="22"/>
              </w:rPr>
            </w:pPr>
            <w:r w:rsidRPr="00586C6C">
              <w:rPr>
                <w:rFonts w:asciiTheme="minorHAnsi" w:hAnsiTheme="minorHAnsi" w:cs="Calibri,Bold"/>
                <w:bCs/>
                <w:sz w:val="22"/>
                <w:szCs w:val="22"/>
              </w:rPr>
              <w:t>&gt;10%</w:t>
            </w:r>
          </w:p>
        </w:tc>
      </w:tr>
      <w:tr w:rsidR="001272C7" w:rsidRPr="00586C6C" w:rsidTr="001272C7">
        <w:tc>
          <w:tcPr>
            <w:tcW w:w="3823" w:type="dxa"/>
          </w:tcPr>
          <w:p w:rsidR="001272C7" w:rsidRPr="00586C6C" w:rsidRDefault="001272C7" w:rsidP="001272C7">
            <w:pPr>
              <w:autoSpaceDE w:val="0"/>
              <w:autoSpaceDN w:val="0"/>
              <w:adjustRightInd w:val="0"/>
              <w:jc w:val="center"/>
              <w:rPr>
                <w:rFonts w:asciiTheme="minorHAnsi" w:hAnsiTheme="minorHAnsi"/>
                <w:sz w:val="22"/>
                <w:szCs w:val="22"/>
              </w:rPr>
            </w:pPr>
            <w:r w:rsidRPr="00586C6C">
              <w:rPr>
                <w:rFonts w:asciiTheme="minorHAnsi" w:hAnsiTheme="minorHAnsi"/>
                <w:sz w:val="22"/>
                <w:szCs w:val="22"/>
              </w:rPr>
              <w:t>Medium</w:t>
            </w:r>
          </w:p>
        </w:tc>
        <w:tc>
          <w:tcPr>
            <w:tcW w:w="5193" w:type="dxa"/>
          </w:tcPr>
          <w:p w:rsidR="001272C7" w:rsidRPr="00586C6C" w:rsidRDefault="001272C7" w:rsidP="001272C7">
            <w:pPr>
              <w:rPr>
                <w:rFonts w:asciiTheme="minorHAnsi" w:hAnsiTheme="minorHAnsi"/>
                <w:sz w:val="22"/>
                <w:szCs w:val="22"/>
              </w:rPr>
            </w:pPr>
            <w:r w:rsidRPr="00586C6C">
              <w:rPr>
                <w:rFonts w:asciiTheme="minorHAnsi" w:hAnsiTheme="minorHAnsi"/>
                <w:sz w:val="22"/>
                <w:szCs w:val="22"/>
              </w:rPr>
              <w:t>&gt;2.0 -  ≤ 10%</w:t>
            </w:r>
          </w:p>
        </w:tc>
      </w:tr>
      <w:tr w:rsidR="001272C7" w:rsidRPr="00586C6C" w:rsidTr="001272C7">
        <w:tc>
          <w:tcPr>
            <w:tcW w:w="3823" w:type="dxa"/>
          </w:tcPr>
          <w:p w:rsidR="001272C7" w:rsidRPr="00586C6C" w:rsidRDefault="001272C7" w:rsidP="001272C7">
            <w:pPr>
              <w:autoSpaceDE w:val="0"/>
              <w:autoSpaceDN w:val="0"/>
              <w:adjustRightInd w:val="0"/>
              <w:jc w:val="center"/>
              <w:rPr>
                <w:rFonts w:asciiTheme="minorHAnsi" w:hAnsiTheme="minorHAnsi"/>
                <w:sz w:val="22"/>
                <w:szCs w:val="22"/>
              </w:rPr>
            </w:pPr>
            <w:r w:rsidRPr="00586C6C">
              <w:rPr>
                <w:rFonts w:asciiTheme="minorHAnsi" w:hAnsiTheme="minorHAnsi"/>
                <w:sz w:val="22"/>
                <w:szCs w:val="22"/>
              </w:rPr>
              <w:t>Low</w:t>
            </w:r>
          </w:p>
        </w:tc>
        <w:tc>
          <w:tcPr>
            <w:tcW w:w="5193" w:type="dxa"/>
          </w:tcPr>
          <w:p w:rsidR="001272C7" w:rsidRPr="00586C6C" w:rsidRDefault="001272C7" w:rsidP="001272C7">
            <w:pPr>
              <w:rPr>
                <w:rFonts w:asciiTheme="minorHAnsi" w:hAnsiTheme="minorHAnsi"/>
                <w:sz w:val="22"/>
                <w:szCs w:val="22"/>
              </w:rPr>
            </w:pPr>
            <w:r w:rsidRPr="00586C6C">
              <w:rPr>
                <w:rFonts w:asciiTheme="minorHAnsi" w:hAnsiTheme="minorHAnsi"/>
                <w:sz w:val="22"/>
                <w:szCs w:val="22"/>
              </w:rPr>
              <w:t>&gt;1% - ≤2.0%</w:t>
            </w:r>
          </w:p>
        </w:tc>
      </w:tr>
      <w:tr w:rsidR="001272C7" w:rsidRPr="00586C6C" w:rsidTr="001272C7">
        <w:tc>
          <w:tcPr>
            <w:tcW w:w="3823" w:type="dxa"/>
          </w:tcPr>
          <w:p w:rsidR="001272C7" w:rsidRPr="00586C6C" w:rsidRDefault="001272C7" w:rsidP="001272C7">
            <w:pPr>
              <w:autoSpaceDE w:val="0"/>
              <w:autoSpaceDN w:val="0"/>
              <w:adjustRightInd w:val="0"/>
              <w:jc w:val="center"/>
              <w:rPr>
                <w:rFonts w:asciiTheme="minorHAnsi" w:hAnsiTheme="minorHAnsi"/>
                <w:sz w:val="22"/>
                <w:szCs w:val="22"/>
              </w:rPr>
            </w:pPr>
            <w:r w:rsidRPr="00586C6C">
              <w:rPr>
                <w:rFonts w:asciiTheme="minorHAnsi" w:hAnsiTheme="minorHAnsi"/>
                <w:sz w:val="22"/>
                <w:szCs w:val="22"/>
              </w:rPr>
              <w:t>Negligible</w:t>
            </w:r>
          </w:p>
        </w:tc>
        <w:tc>
          <w:tcPr>
            <w:tcW w:w="5193" w:type="dxa"/>
          </w:tcPr>
          <w:p w:rsidR="001272C7" w:rsidRPr="00586C6C" w:rsidRDefault="001272C7" w:rsidP="001272C7">
            <w:pPr>
              <w:rPr>
                <w:rFonts w:asciiTheme="minorHAnsi" w:hAnsiTheme="minorHAnsi"/>
                <w:sz w:val="22"/>
                <w:szCs w:val="22"/>
              </w:rPr>
            </w:pPr>
            <w:r w:rsidRPr="00586C6C">
              <w:rPr>
                <w:rFonts w:asciiTheme="minorHAnsi" w:hAnsiTheme="minorHAnsi"/>
                <w:sz w:val="22"/>
                <w:szCs w:val="22"/>
              </w:rPr>
              <w:t>≤ 1%</w:t>
            </w:r>
          </w:p>
        </w:tc>
      </w:tr>
    </w:tbl>
    <w:p w:rsidR="001272C7" w:rsidRPr="00586C6C" w:rsidRDefault="001272C7" w:rsidP="001272C7">
      <w:pPr>
        <w:rPr>
          <w:rFonts w:asciiTheme="minorHAnsi" w:hAnsiTheme="minorHAnsi"/>
          <w:sz w:val="22"/>
          <w:szCs w:val="22"/>
        </w:rPr>
      </w:pPr>
      <w:r w:rsidRPr="00586C6C">
        <w:rPr>
          <w:rFonts w:asciiTheme="minorHAnsi" w:hAnsiTheme="minorHAnsi"/>
          <w:b/>
          <w:sz w:val="22"/>
          <w:szCs w:val="22"/>
        </w:rPr>
        <w:t>Fish and Shellfish Valued Ecological Receptors (VER) within the Swansea Bay Tidal Lagoon study area and their relative geographical importance. (From Environmental Statement, Table 9.2, updated following 27</w:t>
      </w:r>
      <w:r w:rsidRPr="00586C6C">
        <w:rPr>
          <w:rFonts w:asciiTheme="minorHAnsi" w:hAnsiTheme="minorHAnsi"/>
          <w:b/>
          <w:sz w:val="22"/>
          <w:szCs w:val="22"/>
          <w:vertAlign w:val="superscript"/>
        </w:rPr>
        <w:t>th</w:t>
      </w:r>
      <w:r w:rsidRPr="00586C6C">
        <w:rPr>
          <w:rFonts w:asciiTheme="minorHAnsi" w:hAnsiTheme="minorHAnsi"/>
          <w:b/>
          <w:sz w:val="22"/>
          <w:szCs w:val="22"/>
        </w:rPr>
        <w:t xml:space="preserve"> January 2016 Meeting between the applicant, NRW TE, NRW PS and </w:t>
      </w:r>
      <w:proofErr w:type="spellStart"/>
      <w:r w:rsidRPr="00586C6C">
        <w:rPr>
          <w:rFonts w:asciiTheme="minorHAnsi" w:hAnsiTheme="minorHAnsi"/>
          <w:b/>
          <w:sz w:val="22"/>
          <w:szCs w:val="22"/>
        </w:rPr>
        <w:t>Cefas</w:t>
      </w:r>
      <w:proofErr w:type="spellEnd"/>
      <w:r>
        <w:rPr>
          <w:b/>
        </w:rPr>
        <w:t>)</w:t>
      </w:r>
    </w:p>
    <w:tbl>
      <w:tblPr>
        <w:tblStyle w:val="TableGrid"/>
        <w:tblW w:w="0" w:type="auto"/>
        <w:tblLook w:val="04A0" w:firstRow="1" w:lastRow="0" w:firstColumn="1" w:lastColumn="0" w:noHBand="0" w:noVBand="1"/>
      </w:tblPr>
      <w:tblGrid>
        <w:gridCol w:w="3005"/>
        <w:gridCol w:w="3005"/>
      </w:tblGrid>
      <w:tr w:rsidR="001272C7" w:rsidRPr="00586C6C" w:rsidTr="00502E7F">
        <w:tc>
          <w:tcPr>
            <w:tcW w:w="3005" w:type="dxa"/>
            <w:shd w:val="clear" w:color="auto" w:fill="AEAAAA" w:themeFill="background2" w:themeFillShade="BF"/>
          </w:tcPr>
          <w:p w:rsidR="001272C7" w:rsidRPr="00586C6C" w:rsidRDefault="001272C7" w:rsidP="00502E7F">
            <w:pPr>
              <w:jc w:val="center"/>
              <w:rPr>
                <w:rFonts w:asciiTheme="minorHAnsi" w:hAnsiTheme="minorHAnsi"/>
                <w:b/>
                <w:sz w:val="22"/>
                <w:szCs w:val="22"/>
              </w:rPr>
            </w:pPr>
            <w:r w:rsidRPr="00586C6C">
              <w:rPr>
                <w:rFonts w:asciiTheme="minorHAnsi" w:hAnsiTheme="minorHAnsi"/>
                <w:b/>
                <w:sz w:val="22"/>
                <w:szCs w:val="22"/>
              </w:rPr>
              <w:t>VER</w:t>
            </w:r>
          </w:p>
        </w:tc>
        <w:tc>
          <w:tcPr>
            <w:tcW w:w="3005" w:type="dxa"/>
            <w:shd w:val="clear" w:color="auto" w:fill="AEAAAA" w:themeFill="background2" w:themeFillShade="BF"/>
          </w:tcPr>
          <w:p w:rsidR="001272C7" w:rsidRPr="00586C6C" w:rsidRDefault="001272C7" w:rsidP="00502E7F">
            <w:pPr>
              <w:jc w:val="center"/>
              <w:rPr>
                <w:rFonts w:asciiTheme="minorHAnsi" w:hAnsiTheme="minorHAnsi"/>
                <w:b/>
                <w:sz w:val="22"/>
                <w:szCs w:val="22"/>
              </w:rPr>
            </w:pPr>
            <w:r w:rsidRPr="00586C6C">
              <w:rPr>
                <w:rFonts w:asciiTheme="minorHAnsi" w:hAnsiTheme="minorHAnsi"/>
                <w:b/>
                <w:sz w:val="22"/>
                <w:szCs w:val="22"/>
              </w:rPr>
              <w:t>Value</w:t>
            </w:r>
          </w:p>
        </w:tc>
      </w:tr>
      <w:tr w:rsidR="001272C7" w:rsidRPr="00586C6C" w:rsidTr="00502E7F">
        <w:tc>
          <w:tcPr>
            <w:tcW w:w="6010" w:type="dxa"/>
            <w:gridSpan w:val="2"/>
            <w:shd w:val="clear" w:color="auto" w:fill="D9D9D9" w:themeFill="background1" w:themeFillShade="D9"/>
          </w:tcPr>
          <w:p w:rsidR="001272C7" w:rsidRPr="00586C6C" w:rsidRDefault="001272C7" w:rsidP="00502E7F">
            <w:pPr>
              <w:jc w:val="center"/>
              <w:rPr>
                <w:rFonts w:asciiTheme="minorHAnsi" w:hAnsiTheme="minorHAnsi"/>
                <w:b/>
                <w:sz w:val="22"/>
                <w:szCs w:val="22"/>
              </w:rPr>
            </w:pPr>
            <w:r w:rsidRPr="00586C6C">
              <w:rPr>
                <w:rFonts w:asciiTheme="minorHAnsi" w:hAnsiTheme="minorHAnsi"/>
                <w:b/>
                <w:sz w:val="22"/>
                <w:szCs w:val="22"/>
              </w:rPr>
              <w:t>Migratory fish species</w:t>
            </w:r>
          </w:p>
        </w:tc>
      </w:tr>
      <w:tr w:rsidR="001272C7" w:rsidRPr="00586C6C" w:rsidTr="00502E7F">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 xml:space="preserve">European eel, </w:t>
            </w:r>
            <w:proofErr w:type="spellStart"/>
            <w:r w:rsidRPr="00586C6C">
              <w:rPr>
                <w:rFonts w:asciiTheme="minorHAnsi" w:hAnsiTheme="minorHAnsi"/>
                <w:sz w:val="22"/>
                <w:szCs w:val="22"/>
              </w:rPr>
              <w:t>allis</w:t>
            </w:r>
            <w:proofErr w:type="spellEnd"/>
            <w:r w:rsidRPr="00586C6C">
              <w:rPr>
                <w:rFonts w:asciiTheme="minorHAnsi" w:hAnsiTheme="minorHAnsi"/>
                <w:sz w:val="22"/>
                <w:szCs w:val="22"/>
              </w:rPr>
              <w:t xml:space="preserve"> shad, </w:t>
            </w:r>
            <w:proofErr w:type="spellStart"/>
            <w:r w:rsidRPr="00586C6C">
              <w:rPr>
                <w:rFonts w:asciiTheme="minorHAnsi" w:hAnsiTheme="minorHAnsi"/>
                <w:sz w:val="22"/>
                <w:szCs w:val="22"/>
              </w:rPr>
              <w:t>twaite</w:t>
            </w:r>
            <w:proofErr w:type="spellEnd"/>
            <w:r w:rsidRPr="00586C6C">
              <w:rPr>
                <w:rFonts w:asciiTheme="minorHAnsi" w:hAnsiTheme="minorHAnsi"/>
                <w:sz w:val="22"/>
                <w:szCs w:val="22"/>
              </w:rPr>
              <w:t xml:space="preserve"> shad, sea lamprey</w:t>
            </w:r>
          </w:p>
        </w:tc>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International importance</w:t>
            </w:r>
          </w:p>
        </w:tc>
      </w:tr>
      <w:tr w:rsidR="001272C7" w:rsidRPr="00586C6C" w:rsidTr="00502E7F">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Other diadromous fish (</w:t>
            </w:r>
            <w:proofErr w:type="spellStart"/>
            <w:r w:rsidRPr="00586C6C">
              <w:rPr>
                <w:rFonts w:asciiTheme="minorHAnsi" w:hAnsiTheme="minorHAnsi"/>
                <w:sz w:val="22"/>
                <w:szCs w:val="22"/>
              </w:rPr>
              <w:t>atlantic</w:t>
            </w:r>
            <w:proofErr w:type="spellEnd"/>
            <w:r w:rsidRPr="00586C6C">
              <w:rPr>
                <w:rFonts w:asciiTheme="minorHAnsi" w:hAnsiTheme="minorHAnsi"/>
                <w:sz w:val="22"/>
                <w:szCs w:val="22"/>
              </w:rPr>
              <w:t xml:space="preserve"> salmon, river lamprey and sea trout)</w:t>
            </w:r>
          </w:p>
        </w:tc>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National importance</w:t>
            </w:r>
          </w:p>
        </w:tc>
      </w:tr>
      <w:tr w:rsidR="001272C7" w:rsidRPr="00586C6C" w:rsidTr="00502E7F">
        <w:tc>
          <w:tcPr>
            <w:tcW w:w="6010" w:type="dxa"/>
            <w:gridSpan w:val="2"/>
            <w:shd w:val="clear" w:color="auto" w:fill="D9D9D9" w:themeFill="background1" w:themeFillShade="D9"/>
          </w:tcPr>
          <w:p w:rsidR="001272C7" w:rsidRPr="00586C6C" w:rsidRDefault="001272C7" w:rsidP="00502E7F">
            <w:pPr>
              <w:jc w:val="center"/>
              <w:rPr>
                <w:rFonts w:asciiTheme="minorHAnsi" w:hAnsiTheme="minorHAnsi"/>
                <w:b/>
                <w:sz w:val="22"/>
                <w:szCs w:val="22"/>
              </w:rPr>
            </w:pPr>
            <w:r w:rsidRPr="00586C6C">
              <w:rPr>
                <w:rFonts w:asciiTheme="minorHAnsi" w:hAnsiTheme="minorHAnsi"/>
                <w:b/>
                <w:sz w:val="22"/>
                <w:szCs w:val="22"/>
              </w:rPr>
              <w:t>Other fish and shellfish</w:t>
            </w:r>
          </w:p>
        </w:tc>
      </w:tr>
      <w:tr w:rsidR="001272C7" w:rsidRPr="00586C6C" w:rsidTr="00502E7F">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Common Sole</w:t>
            </w:r>
          </w:p>
        </w:tc>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National importance</w:t>
            </w:r>
          </w:p>
        </w:tc>
      </w:tr>
      <w:tr w:rsidR="001272C7" w:rsidRPr="00586C6C" w:rsidTr="00502E7F">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 xml:space="preserve">Herring </w:t>
            </w:r>
          </w:p>
        </w:tc>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Regional importance</w:t>
            </w:r>
          </w:p>
        </w:tc>
      </w:tr>
      <w:tr w:rsidR="001272C7" w:rsidRPr="00586C6C" w:rsidTr="00502E7F">
        <w:tc>
          <w:tcPr>
            <w:tcW w:w="3005" w:type="dxa"/>
          </w:tcPr>
          <w:p w:rsidR="001272C7" w:rsidRPr="00586C6C" w:rsidRDefault="001272C7" w:rsidP="00502E7F">
            <w:pPr>
              <w:rPr>
                <w:rFonts w:asciiTheme="minorHAnsi" w:hAnsiTheme="minorHAnsi"/>
                <w:sz w:val="22"/>
                <w:szCs w:val="22"/>
              </w:rPr>
            </w:pPr>
            <w:proofErr w:type="spellStart"/>
            <w:r w:rsidRPr="00586C6C">
              <w:rPr>
                <w:rFonts w:asciiTheme="minorHAnsi" w:hAnsiTheme="minorHAnsi"/>
                <w:sz w:val="22"/>
                <w:szCs w:val="22"/>
              </w:rPr>
              <w:t>Sandeel</w:t>
            </w:r>
            <w:proofErr w:type="spellEnd"/>
          </w:p>
        </w:tc>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Regional importance</w:t>
            </w:r>
          </w:p>
        </w:tc>
      </w:tr>
      <w:tr w:rsidR="001272C7" w:rsidRPr="00586C6C" w:rsidTr="00502E7F">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Other demersal and pelagic species</w:t>
            </w:r>
          </w:p>
        </w:tc>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Regional importance</w:t>
            </w:r>
          </w:p>
        </w:tc>
      </w:tr>
      <w:tr w:rsidR="001272C7" w:rsidRPr="00586C6C" w:rsidTr="00502E7F">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Commercial Shellfish</w:t>
            </w:r>
          </w:p>
        </w:tc>
        <w:tc>
          <w:tcPr>
            <w:tcW w:w="3005" w:type="dxa"/>
          </w:tcPr>
          <w:p w:rsidR="001272C7" w:rsidRPr="00586C6C" w:rsidRDefault="001272C7" w:rsidP="00502E7F">
            <w:pPr>
              <w:rPr>
                <w:rFonts w:asciiTheme="minorHAnsi" w:hAnsiTheme="minorHAnsi"/>
                <w:sz w:val="22"/>
                <w:szCs w:val="22"/>
              </w:rPr>
            </w:pPr>
            <w:r w:rsidRPr="00586C6C">
              <w:rPr>
                <w:rFonts w:asciiTheme="minorHAnsi" w:hAnsiTheme="minorHAnsi"/>
                <w:sz w:val="22"/>
                <w:szCs w:val="22"/>
              </w:rPr>
              <w:t>Regional importance</w:t>
            </w:r>
          </w:p>
        </w:tc>
      </w:tr>
    </w:tbl>
    <w:p w:rsidR="001272C7" w:rsidRPr="00586C6C" w:rsidRDefault="001272C7" w:rsidP="001272C7">
      <w:pPr>
        <w:rPr>
          <w:rFonts w:asciiTheme="minorHAnsi" w:hAnsiTheme="minorHAnsi"/>
          <w:sz w:val="22"/>
          <w:szCs w:val="22"/>
        </w:rPr>
      </w:pPr>
    </w:p>
    <w:p w:rsidR="001272C7" w:rsidRPr="00586C6C" w:rsidRDefault="001272C7" w:rsidP="001272C7">
      <w:pPr>
        <w:rPr>
          <w:rFonts w:asciiTheme="minorHAnsi" w:hAnsiTheme="minorHAnsi"/>
          <w:sz w:val="22"/>
          <w:szCs w:val="22"/>
        </w:rPr>
      </w:pPr>
    </w:p>
    <w:p w:rsidR="001272C7" w:rsidRPr="00586C6C" w:rsidRDefault="001272C7" w:rsidP="001272C7">
      <w:pPr>
        <w:autoSpaceDE w:val="0"/>
        <w:autoSpaceDN w:val="0"/>
        <w:adjustRightInd w:val="0"/>
        <w:rPr>
          <w:rFonts w:asciiTheme="minorHAnsi" w:hAnsiTheme="minorHAnsi" w:cs="Calibri,Bold"/>
          <w:b/>
          <w:bCs/>
          <w:sz w:val="22"/>
          <w:szCs w:val="22"/>
        </w:rPr>
      </w:pPr>
      <w:r w:rsidRPr="00586C6C">
        <w:rPr>
          <w:rFonts w:asciiTheme="minorHAnsi" w:hAnsiTheme="minorHAnsi" w:cs="Calibri,Bold"/>
          <w:b/>
          <w:bCs/>
          <w:sz w:val="22"/>
          <w:szCs w:val="22"/>
        </w:rPr>
        <w:t>Significance of an impact resulting from the combination of receptor sensitivity/value</w:t>
      </w:r>
    </w:p>
    <w:p w:rsidR="001272C7" w:rsidRPr="00586C6C" w:rsidRDefault="001272C7" w:rsidP="001272C7">
      <w:pPr>
        <w:rPr>
          <w:rFonts w:asciiTheme="minorHAnsi" w:hAnsiTheme="minorHAnsi"/>
          <w:sz w:val="22"/>
          <w:szCs w:val="22"/>
        </w:rPr>
      </w:pPr>
      <w:r w:rsidRPr="00586C6C">
        <w:rPr>
          <w:rFonts w:asciiTheme="minorHAnsi" w:hAnsiTheme="minorHAnsi" w:cs="Calibri,Bold"/>
          <w:b/>
          <w:bCs/>
          <w:sz w:val="22"/>
          <w:szCs w:val="22"/>
        </w:rPr>
        <w:t>and the magnitude of the effect upon it (From Environmental Statement, Table 9.4 provided by applicant updated in Further information submission of 14</w:t>
      </w:r>
      <w:r w:rsidRPr="00586C6C">
        <w:rPr>
          <w:rFonts w:asciiTheme="minorHAnsi" w:hAnsiTheme="minorHAnsi" w:cs="Calibri,Bold"/>
          <w:b/>
          <w:bCs/>
          <w:sz w:val="22"/>
          <w:szCs w:val="22"/>
          <w:vertAlign w:val="superscript"/>
        </w:rPr>
        <w:t>th</w:t>
      </w:r>
      <w:r w:rsidRPr="00586C6C">
        <w:rPr>
          <w:rFonts w:asciiTheme="minorHAnsi" w:hAnsiTheme="minorHAnsi" w:cs="Calibri,Bold"/>
          <w:b/>
          <w:bCs/>
          <w:sz w:val="22"/>
          <w:szCs w:val="22"/>
        </w:rPr>
        <w:t xml:space="preserve"> July 2016 “Fisheries matters not agreed requiring clarification”)</w:t>
      </w:r>
    </w:p>
    <w:tbl>
      <w:tblPr>
        <w:tblStyle w:val="TableGrid"/>
        <w:tblW w:w="0" w:type="auto"/>
        <w:tblLook w:val="04A0" w:firstRow="1" w:lastRow="0" w:firstColumn="1" w:lastColumn="0" w:noHBand="0" w:noVBand="1"/>
      </w:tblPr>
      <w:tblGrid>
        <w:gridCol w:w="1925"/>
        <w:gridCol w:w="1618"/>
        <w:gridCol w:w="1374"/>
        <w:gridCol w:w="1374"/>
        <w:gridCol w:w="1363"/>
        <w:gridCol w:w="1363"/>
      </w:tblGrid>
      <w:tr w:rsidR="001272C7" w:rsidRPr="00586C6C" w:rsidTr="001272C7">
        <w:tc>
          <w:tcPr>
            <w:tcW w:w="1924" w:type="dxa"/>
            <w:vMerge w:val="restart"/>
          </w:tcPr>
          <w:p w:rsidR="001272C7" w:rsidRPr="00586C6C" w:rsidRDefault="001272C7" w:rsidP="00502E7F">
            <w:pPr>
              <w:rPr>
                <w:rFonts w:asciiTheme="minorHAnsi" w:hAnsiTheme="minorHAnsi"/>
                <w:sz w:val="22"/>
                <w:szCs w:val="22"/>
              </w:rPr>
            </w:pPr>
            <w:r w:rsidRPr="00586C6C">
              <w:rPr>
                <w:rFonts w:asciiTheme="minorHAnsi" w:hAnsiTheme="minorHAnsi" w:cs="Calibri,Bold"/>
                <w:b/>
                <w:bCs/>
                <w:sz w:val="22"/>
                <w:szCs w:val="22"/>
              </w:rPr>
              <w:t>Value/importance</w:t>
            </w:r>
          </w:p>
        </w:tc>
        <w:tc>
          <w:tcPr>
            <w:tcW w:w="7178" w:type="dxa"/>
            <w:gridSpan w:val="5"/>
          </w:tcPr>
          <w:p w:rsidR="001272C7" w:rsidRPr="00586C6C" w:rsidRDefault="001272C7" w:rsidP="00502E7F">
            <w:pPr>
              <w:jc w:val="center"/>
              <w:rPr>
                <w:rFonts w:asciiTheme="minorHAnsi" w:hAnsiTheme="minorHAnsi"/>
                <w:sz w:val="22"/>
                <w:szCs w:val="22"/>
              </w:rPr>
            </w:pPr>
            <w:r w:rsidRPr="00586C6C">
              <w:rPr>
                <w:rFonts w:asciiTheme="minorHAnsi" w:hAnsiTheme="minorHAnsi" w:cs="Calibri,Bold"/>
                <w:b/>
                <w:bCs/>
                <w:sz w:val="22"/>
                <w:szCs w:val="22"/>
              </w:rPr>
              <w:t>Magnitude (Positive/Adverse)</w:t>
            </w:r>
          </w:p>
        </w:tc>
      </w:tr>
      <w:tr w:rsidR="001272C7" w:rsidRPr="00586C6C" w:rsidTr="001272C7">
        <w:tc>
          <w:tcPr>
            <w:tcW w:w="1924" w:type="dxa"/>
            <w:vMerge/>
          </w:tcPr>
          <w:p w:rsidR="001272C7" w:rsidRPr="00586C6C" w:rsidRDefault="001272C7" w:rsidP="00502E7F">
            <w:pPr>
              <w:rPr>
                <w:rFonts w:asciiTheme="minorHAnsi" w:hAnsiTheme="minorHAnsi"/>
                <w:sz w:val="22"/>
                <w:szCs w:val="22"/>
              </w:rPr>
            </w:pPr>
          </w:p>
        </w:tc>
        <w:tc>
          <w:tcPr>
            <w:tcW w:w="1662" w:type="dxa"/>
          </w:tcPr>
          <w:p w:rsidR="001272C7" w:rsidRPr="00586C6C" w:rsidRDefault="001272C7" w:rsidP="00502E7F">
            <w:pPr>
              <w:rPr>
                <w:rFonts w:asciiTheme="minorHAnsi" w:hAnsiTheme="minorHAnsi"/>
                <w:sz w:val="22"/>
                <w:szCs w:val="22"/>
              </w:rPr>
            </w:pPr>
            <w:r w:rsidRPr="00586C6C">
              <w:rPr>
                <w:rFonts w:asciiTheme="minorHAnsi" w:hAnsiTheme="minorHAnsi" w:cs="Calibri,Bold"/>
                <w:b/>
                <w:bCs/>
                <w:sz w:val="22"/>
                <w:szCs w:val="22"/>
              </w:rPr>
              <w:t>Neutral</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Bold"/>
                <w:b/>
                <w:bCs/>
                <w:sz w:val="22"/>
                <w:szCs w:val="22"/>
              </w:rPr>
              <w:t>Negligible</w:t>
            </w:r>
          </w:p>
        </w:tc>
        <w:tc>
          <w:tcPr>
            <w:tcW w:w="1379" w:type="dxa"/>
          </w:tcPr>
          <w:p w:rsidR="001272C7" w:rsidRPr="00586C6C" w:rsidRDefault="001272C7" w:rsidP="00502E7F">
            <w:pPr>
              <w:jc w:val="center"/>
              <w:rPr>
                <w:rFonts w:asciiTheme="minorHAnsi" w:hAnsiTheme="minorHAnsi"/>
                <w:sz w:val="22"/>
                <w:szCs w:val="22"/>
              </w:rPr>
            </w:pPr>
            <w:r w:rsidRPr="00586C6C">
              <w:rPr>
                <w:rFonts w:asciiTheme="minorHAnsi" w:hAnsiTheme="minorHAnsi" w:cs="Calibri,Bold"/>
                <w:b/>
                <w:bCs/>
                <w:sz w:val="22"/>
                <w:szCs w:val="22"/>
              </w:rPr>
              <w:t>Low</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Bold"/>
                <w:b/>
                <w:bCs/>
                <w:sz w:val="22"/>
                <w:szCs w:val="22"/>
              </w:rPr>
              <w:t>Medium</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Bold"/>
                <w:b/>
                <w:bCs/>
                <w:sz w:val="22"/>
                <w:szCs w:val="22"/>
              </w:rPr>
              <w:t>High</w:t>
            </w:r>
          </w:p>
        </w:tc>
      </w:tr>
      <w:tr w:rsidR="001272C7" w:rsidRPr="00586C6C" w:rsidTr="001272C7">
        <w:tc>
          <w:tcPr>
            <w:tcW w:w="1924" w:type="dxa"/>
          </w:tcPr>
          <w:p w:rsidR="001272C7" w:rsidRPr="00586C6C" w:rsidRDefault="001272C7" w:rsidP="00502E7F">
            <w:pPr>
              <w:rPr>
                <w:rFonts w:asciiTheme="minorHAnsi" w:hAnsiTheme="minorHAnsi"/>
                <w:b/>
                <w:sz w:val="22"/>
                <w:szCs w:val="22"/>
              </w:rPr>
            </w:pPr>
            <w:r w:rsidRPr="00586C6C">
              <w:rPr>
                <w:rFonts w:asciiTheme="minorHAnsi" w:hAnsiTheme="minorHAnsi" w:cs="Calibri"/>
                <w:b/>
                <w:sz w:val="22"/>
                <w:szCs w:val="22"/>
              </w:rPr>
              <w:t>Very High/International</w:t>
            </w:r>
          </w:p>
        </w:tc>
        <w:tc>
          <w:tcPr>
            <w:tcW w:w="1662"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No impact</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Minor</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Moderate</w:t>
            </w:r>
          </w:p>
        </w:tc>
        <w:tc>
          <w:tcPr>
            <w:tcW w:w="1379" w:type="dxa"/>
          </w:tcPr>
          <w:p w:rsidR="001272C7" w:rsidRPr="00586C6C" w:rsidRDefault="001272C7" w:rsidP="00502E7F">
            <w:pPr>
              <w:jc w:val="center"/>
              <w:rPr>
                <w:rFonts w:asciiTheme="minorHAnsi" w:hAnsiTheme="minorHAnsi"/>
                <w:sz w:val="22"/>
                <w:szCs w:val="22"/>
              </w:rPr>
            </w:pPr>
            <w:r w:rsidRPr="00586C6C">
              <w:rPr>
                <w:rFonts w:asciiTheme="minorHAnsi" w:hAnsiTheme="minorHAnsi" w:cs="Calibri"/>
                <w:sz w:val="22"/>
                <w:szCs w:val="22"/>
              </w:rPr>
              <w:t>Major</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Major</w:t>
            </w:r>
          </w:p>
        </w:tc>
      </w:tr>
      <w:tr w:rsidR="001272C7" w:rsidRPr="00586C6C" w:rsidTr="001272C7">
        <w:tc>
          <w:tcPr>
            <w:tcW w:w="1924" w:type="dxa"/>
          </w:tcPr>
          <w:p w:rsidR="001272C7" w:rsidRPr="00586C6C" w:rsidRDefault="001272C7" w:rsidP="00502E7F">
            <w:pPr>
              <w:rPr>
                <w:rFonts w:asciiTheme="minorHAnsi" w:hAnsiTheme="minorHAnsi"/>
                <w:b/>
                <w:sz w:val="22"/>
                <w:szCs w:val="22"/>
              </w:rPr>
            </w:pPr>
            <w:r w:rsidRPr="00586C6C">
              <w:rPr>
                <w:rFonts w:asciiTheme="minorHAnsi" w:hAnsiTheme="minorHAnsi" w:cs="Calibri"/>
                <w:b/>
                <w:sz w:val="22"/>
                <w:szCs w:val="22"/>
              </w:rPr>
              <w:t>High/National</w:t>
            </w:r>
          </w:p>
        </w:tc>
        <w:tc>
          <w:tcPr>
            <w:tcW w:w="1662"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No impact</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Insignificant</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Minor</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Moderate</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Major</w:t>
            </w:r>
          </w:p>
        </w:tc>
      </w:tr>
      <w:tr w:rsidR="001272C7" w:rsidRPr="00586C6C" w:rsidTr="001272C7">
        <w:tc>
          <w:tcPr>
            <w:tcW w:w="1924" w:type="dxa"/>
          </w:tcPr>
          <w:p w:rsidR="001272C7" w:rsidRPr="00586C6C" w:rsidRDefault="001272C7" w:rsidP="00502E7F">
            <w:pPr>
              <w:rPr>
                <w:rFonts w:asciiTheme="minorHAnsi" w:hAnsiTheme="minorHAnsi"/>
                <w:b/>
                <w:sz w:val="22"/>
                <w:szCs w:val="22"/>
              </w:rPr>
            </w:pPr>
            <w:r w:rsidRPr="00586C6C">
              <w:rPr>
                <w:rFonts w:asciiTheme="minorHAnsi" w:hAnsiTheme="minorHAnsi" w:cs="Calibri"/>
                <w:b/>
                <w:sz w:val="22"/>
                <w:szCs w:val="22"/>
              </w:rPr>
              <w:t>Medium/regional</w:t>
            </w:r>
          </w:p>
        </w:tc>
        <w:tc>
          <w:tcPr>
            <w:tcW w:w="1662"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No impact</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Insignificant</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Minor</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Moderate</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Moderate</w:t>
            </w:r>
          </w:p>
        </w:tc>
      </w:tr>
      <w:tr w:rsidR="001272C7" w:rsidRPr="00586C6C" w:rsidTr="001272C7">
        <w:tc>
          <w:tcPr>
            <w:tcW w:w="1924" w:type="dxa"/>
          </w:tcPr>
          <w:p w:rsidR="001272C7" w:rsidRPr="00586C6C" w:rsidRDefault="001272C7" w:rsidP="00502E7F">
            <w:pPr>
              <w:rPr>
                <w:rFonts w:asciiTheme="minorHAnsi" w:hAnsiTheme="minorHAnsi"/>
                <w:b/>
                <w:sz w:val="22"/>
                <w:szCs w:val="22"/>
              </w:rPr>
            </w:pPr>
            <w:r w:rsidRPr="00586C6C">
              <w:rPr>
                <w:rFonts w:asciiTheme="minorHAnsi" w:hAnsiTheme="minorHAnsi" w:cs="Calibri"/>
                <w:b/>
                <w:sz w:val="22"/>
                <w:szCs w:val="22"/>
              </w:rPr>
              <w:t>Low/local</w:t>
            </w:r>
          </w:p>
        </w:tc>
        <w:tc>
          <w:tcPr>
            <w:tcW w:w="1662"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No impact</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Insignificant</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Insignificant</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Minor</w:t>
            </w:r>
          </w:p>
        </w:tc>
        <w:tc>
          <w:tcPr>
            <w:tcW w:w="1379" w:type="dxa"/>
          </w:tcPr>
          <w:p w:rsidR="001272C7" w:rsidRPr="00586C6C" w:rsidRDefault="001272C7" w:rsidP="00502E7F">
            <w:pPr>
              <w:rPr>
                <w:rFonts w:asciiTheme="minorHAnsi" w:hAnsiTheme="minorHAnsi"/>
                <w:sz w:val="22"/>
                <w:szCs w:val="22"/>
              </w:rPr>
            </w:pPr>
            <w:r w:rsidRPr="00586C6C">
              <w:rPr>
                <w:rFonts w:asciiTheme="minorHAnsi" w:hAnsiTheme="minorHAnsi" w:cs="Calibri"/>
                <w:sz w:val="22"/>
                <w:szCs w:val="22"/>
              </w:rPr>
              <w:t>Moderate</w:t>
            </w:r>
          </w:p>
        </w:tc>
      </w:tr>
    </w:tbl>
    <w:p w:rsidR="00680E8D" w:rsidRDefault="00680E8D" w:rsidP="001272C7">
      <w:pPr>
        <w:rPr>
          <w:rFonts w:asciiTheme="minorHAnsi" w:hAnsiTheme="minorHAnsi"/>
          <w:sz w:val="22"/>
          <w:szCs w:val="22"/>
        </w:rPr>
      </w:pPr>
    </w:p>
    <w:p w:rsidR="00680E8D" w:rsidRDefault="00680E8D" w:rsidP="001272C7">
      <w:pPr>
        <w:rPr>
          <w:rFonts w:asciiTheme="minorHAnsi" w:hAnsiTheme="minorHAnsi"/>
          <w:b/>
          <w:sz w:val="22"/>
          <w:szCs w:val="22"/>
        </w:rPr>
      </w:pPr>
      <w:r>
        <w:rPr>
          <w:rFonts w:asciiTheme="minorHAnsi" w:hAnsiTheme="minorHAnsi"/>
          <w:b/>
          <w:sz w:val="22"/>
          <w:szCs w:val="22"/>
        </w:rPr>
        <w:t xml:space="preserve">Permitting Service determination of the appropriate model </w:t>
      </w:r>
      <w:r w:rsidR="00005B8B">
        <w:rPr>
          <w:rFonts w:asciiTheme="minorHAnsi" w:hAnsiTheme="minorHAnsi"/>
          <w:b/>
          <w:sz w:val="22"/>
          <w:szCs w:val="22"/>
        </w:rPr>
        <w:t>methodology</w:t>
      </w:r>
    </w:p>
    <w:p w:rsidR="00680E8D" w:rsidRDefault="00680E8D" w:rsidP="001272C7">
      <w:pPr>
        <w:rPr>
          <w:rFonts w:asciiTheme="minorHAnsi" w:hAnsiTheme="minorHAnsi"/>
          <w:b/>
          <w:sz w:val="22"/>
          <w:szCs w:val="22"/>
        </w:rPr>
      </w:pPr>
    </w:p>
    <w:p w:rsidR="00680E8D" w:rsidRDefault="00680E8D" w:rsidP="001272C7">
      <w:pPr>
        <w:rPr>
          <w:rFonts w:asciiTheme="minorHAnsi" w:hAnsiTheme="minorHAnsi"/>
          <w:sz w:val="22"/>
          <w:szCs w:val="22"/>
        </w:rPr>
      </w:pPr>
      <w:r>
        <w:rPr>
          <w:rFonts w:asciiTheme="minorHAnsi" w:hAnsiTheme="minorHAnsi"/>
          <w:sz w:val="22"/>
          <w:szCs w:val="22"/>
        </w:rPr>
        <w:t>The Applicants “Further Information submission” of the 8</w:t>
      </w:r>
      <w:r w:rsidRPr="00005B8B">
        <w:rPr>
          <w:rFonts w:asciiTheme="minorHAnsi" w:hAnsiTheme="minorHAnsi"/>
          <w:sz w:val="22"/>
          <w:szCs w:val="22"/>
        </w:rPr>
        <w:t>th</w:t>
      </w:r>
      <w:r>
        <w:rPr>
          <w:rFonts w:asciiTheme="minorHAnsi" w:hAnsiTheme="minorHAnsi"/>
          <w:sz w:val="22"/>
          <w:szCs w:val="22"/>
        </w:rPr>
        <w:t xml:space="preserve"> July 2016 (and revised for clarity and resubmitted on 14</w:t>
      </w:r>
      <w:r w:rsidRPr="00005B8B">
        <w:rPr>
          <w:rFonts w:asciiTheme="minorHAnsi" w:hAnsiTheme="minorHAnsi"/>
          <w:sz w:val="22"/>
          <w:szCs w:val="22"/>
        </w:rPr>
        <w:t>th</w:t>
      </w:r>
      <w:r>
        <w:rPr>
          <w:rFonts w:asciiTheme="minorHAnsi" w:hAnsiTheme="minorHAnsi"/>
          <w:sz w:val="22"/>
          <w:szCs w:val="22"/>
        </w:rPr>
        <w:t xml:space="preserve"> July 2016) provides modelled outputs for turbine impact utilising </w:t>
      </w:r>
      <w:r w:rsidR="00BA1B95">
        <w:rPr>
          <w:rFonts w:asciiTheme="minorHAnsi" w:hAnsiTheme="minorHAnsi"/>
          <w:sz w:val="22"/>
          <w:szCs w:val="22"/>
        </w:rPr>
        <w:t xml:space="preserve">the STRIKER </w:t>
      </w:r>
      <w:r w:rsidR="00BA1B95">
        <w:rPr>
          <w:rFonts w:asciiTheme="minorHAnsi" w:hAnsiTheme="minorHAnsi"/>
          <w:sz w:val="22"/>
          <w:szCs w:val="22"/>
        </w:rPr>
        <w:lastRenderedPageBreak/>
        <w:t>model (to</w:t>
      </w:r>
      <w:r w:rsidR="003D24CD">
        <w:rPr>
          <w:rFonts w:asciiTheme="minorHAnsi" w:hAnsiTheme="minorHAnsi"/>
          <w:sz w:val="22"/>
          <w:szCs w:val="22"/>
        </w:rPr>
        <w:t xml:space="preserve"> model turbine injury rate) and </w:t>
      </w:r>
      <w:r w:rsidR="00005B8B">
        <w:rPr>
          <w:rFonts w:asciiTheme="minorHAnsi" w:hAnsiTheme="minorHAnsi"/>
          <w:sz w:val="22"/>
          <w:szCs w:val="22"/>
        </w:rPr>
        <w:t xml:space="preserve">either Individual Behaviour Model (IBM), Draw Zone model or Alternative Draw Zone model. </w:t>
      </w:r>
    </w:p>
    <w:p w:rsidR="00680E8D" w:rsidRDefault="00680E8D" w:rsidP="001272C7">
      <w:pPr>
        <w:rPr>
          <w:rFonts w:asciiTheme="minorHAnsi" w:hAnsiTheme="minorHAnsi"/>
          <w:sz w:val="22"/>
          <w:szCs w:val="22"/>
        </w:rPr>
      </w:pPr>
    </w:p>
    <w:p w:rsidR="00680E8D" w:rsidRPr="00680E8D" w:rsidRDefault="00680E8D" w:rsidP="001272C7">
      <w:pPr>
        <w:rPr>
          <w:rFonts w:asciiTheme="minorHAnsi" w:hAnsiTheme="minorHAnsi"/>
          <w:sz w:val="22"/>
          <w:szCs w:val="22"/>
        </w:rPr>
      </w:pPr>
      <w:r>
        <w:rPr>
          <w:rFonts w:asciiTheme="minorHAnsi" w:hAnsiTheme="minorHAnsi"/>
          <w:sz w:val="22"/>
          <w:szCs w:val="22"/>
        </w:rPr>
        <w:t>Based upon the current available evidence the</w:t>
      </w:r>
      <w:r w:rsidR="00E22B15">
        <w:rPr>
          <w:rFonts w:asciiTheme="minorHAnsi" w:hAnsiTheme="minorHAnsi"/>
          <w:sz w:val="22"/>
          <w:szCs w:val="22"/>
        </w:rPr>
        <w:t xml:space="preserve"> NRW </w:t>
      </w:r>
      <w:r>
        <w:rPr>
          <w:rFonts w:asciiTheme="minorHAnsi" w:hAnsiTheme="minorHAnsi"/>
          <w:sz w:val="22"/>
          <w:szCs w:val="22"/>
        </w:rPr>
        <w:t xml:space="preserve"> </w:t>
      </w:r>
      <w:r w:rsidR="00E22B15">
        <w:rPr>
          <w:rFonts w:asciiTheme="minorHAnsi" w:hAnsiTheme="minorHAnsi"/>
          <w:sz w:val="22"/>
          <w:szCs w:val="22"/>
        </w:rPr>
        <w:t>(</w:t>
      </w:r>
      <w:r>
        <w:rPr>
          <w:rFonts w:asciiTheme="minorHAnsi" w:hAnsiTheme="minorHAnsi"/>
          <w:sz w:val="22"/>
          <w:szCs w:val="22"/>
        </w:rPr>
        <w:t>Permitting Service</w:t>
      </w:r>
      <w:r w:rsidR="00E22B15">
        <w:rPr>
          <w:rFonts w:asciiTheme="minorHAnsi" w:hAnsiTheme="minorHAnsi"/>
          <w:sz w:val="22"/>
          <w:szCs w:val="22"/>
        </w:rPr>
        <w:t>)</w:t>
      </w:r>
      <w:r>
        <w:rPr>
          <w:rFonts w:asciiTheme="minorHAnsi" w:hAnsiTheme="minorHAnsi"/>
          <w:sz w:val="22"/>
          <w:szCs w:val="22"/>
        </w:rPr>
        <w:t xml:space="preserve"> consider that the model combination of the STRIKER and Alternative Draw Zone model is consider to provide the best available potential impact values</w:t>
      </w:r>
      <w:r w:rsidR="00005B8B">
        <w:rPr>
          <w:rFonts w:asciiTheme="minorHAnsi" w:hAnsiTheme="minorHAnsi"/>
          <w:sz w:val="22"/>
          <w:szCs w:val="22"/>
        </w:rPr>
        <w:t>, the reasoning for this is provided below</w:t>
      </w:r>
      <w:r>
        <w:rPr>
          <w:rFonts w:asciiTheme="minorHAnsi" w:hAnsiTheme="minorHAnsi"/>
          <w:sz w:val="22"/>
          <w:szCs w:val="22"/>
        </w:rPr>
        <w:t xml:space="preserve">.  </w:t>
      </w:r>
      <w:r w:rsidR="003D24CD">
        <w:rPr>
          <w:rFonts w:asciiTheme="minorHAnsi" w:hAnsiTheme="minorHAnsi"/>
          <w:sz w:val="22"/>
          <w:szCs w:val="22"/>
        </w:rPr>
        <w:t xml:space="preserve"> The </w:t>
      </w:r>
      <w:r w:rsidR="00E22B15">
        <w:rPr>
          <w:rFonts w:asciiTheme="minorHAnsi" w:hAnsiTheme="minorHAnsi"/>
          <w:sz w:val="22"/>
          <w:szCs w:val="22"/>
        </w:rPr>
        <w:t>NRW (</w:t>
      </w:r>
      <w:r w:rsidR="003D24CD">
        <w:rPr>
          <w:rFonts w:asciiTheme="minorHAnsi" w:hAnsiTheme="minorHAnsi"/>
          <w:sz w:val="22"/>
          <w:szCs w:val="22"/>
        </w:rPr>
        <w:t>Permitting Service</w:t>
      </w:r>
      <w:r w:rsidR="00E22B15">
        <w:rPr>
          <w:rFonts w:asciiTheme="minorHAnsi" w:hAnsiTheme="minorHAnsi"/>
          <w:sz w:val="22"/>
          <w:szCs w:val="22"/>
        </w:rPr>
        <w:t>)</w:t>
      </w:r>
      <w:r w:rsidR="003D24CD">
        <w:rPr>
          <w:rFonts w:asciiTheme="minorHAnsi" w:hAnsiTheme="minorHAnsi"/>
          <w:sz w:val="22"/>
          <w:szCs w:val="22"/>
        </w:rPr>
        <w:t xml:space="preserve"> acknowledge the uncertainties associated with the STRIKER and Alternative Draw Zone models and as such considers that </w:t>
      </w:r>
      <w:r w:rsidR="00092CAA">
        <w:rPr>
          <w:rFonts w:asciiTheme="minorHAnsi" w:hAnsiTheme="minorHAnsi"/>
          <w:sz w:val="22"/>
          <w:szCs w:val="22"/>
        </w:rPr>
        <w:t>an “uncertain” confidence level is assigned to the figures (as per 9.3.4.7 of the</w:t>
      </w:r>
      <w:r w:rsidR="00005B8B">
        <w:rPr>
          <w:rFonts w:asciiTheme="minorHAnsi" w:hAnsiTheme="minorHAnsi"/>
          <w:sz w:val="22"/>
          <w:szCs w:val="22"/>
        </w:rPr>
        <w:t xml:space="preserve"> applicant’s</w:t>
      </w:r>
      <w:r w:rsidR="00092CAA">
        <w:rPr>
          <w:rFonts w:asciiTheme="minorHAnsi" w:hAnsiTheme="minorHAnsi"/>
          <w:sz w:val="22"/>
          <w:szCs w:val="22"/>
        </w:rPr>
        <w:t xml:space="preserve"> Environmental Statement). </w:t>
      </w:r>
    </w:p>
    <w:p w:rsidR="00680E8D" w:rsidRPr="00005B8B" w:rsidRDefault="00680E8D" w:rsidP="001272C7">
      <w:pPr>
        <w:rPr>
          <w:rFonts w:asciiTheme="minorHAnsi" w:hAnsiTheme="minorHAnsi"/>
          <w:sz w:val="22"/>
          <w:szCs w:val="22"/>
        </w:rPr>
      </w:pPr>
    </w:p>
    <w:p w:rsidR="00005B8B" w:rsidRPr="00005B8B" w:rsidRDefault="00680E8D" w:rsidP="00005B8B">
      <w:pPr>
        <w:rPr>
          <w:rFonts w:asciiTheme="minorHAnsi" w:hAnsiTheme="minorHAnsi"/>
          <w:sz w:val="22"/>
          <w:szCs w:val="22"/>
        </w:rPr>
      </w:pPr>
      <w:r w:rsidRPr="00005B8B">
        <w:rPr>
          <w:rFonts w:asciiTheme="minorHAnsi" w:hAnsiTheme="minorHAnsi"/>
          <w:sz w:val="22"/>
          <w:szCs w:val="22"/>
          <w:u w:val="single"/>
        </w:rPr>
        <w:t>STRIKER model</w:t>
      </w:r>
      <w:r w:rsidRPr="00005B8B">
        <w:rPr>
          <w:rFonts w:asciiTheme="minorHAnsi" w:hAnsiTheme="minorHAnsi"/>
          <w:sz w:val="22"/>
          <w:szCs w:val="22"/>
        </w:rPr>
        <w:t>:</w:t>
      </w:r>
      <w:r>
        <w:rPr>
          <w:rFonts w:asciiTheme="minorHAnsi" w:hAnsiTheme="minorHAnsi"/>
          <w:sz w:val="22"/>
          <w:szCs w:val="22"/>
        </w:rPr>
        <w:t xml:space="preserve"> </w:t>
      </w:r>
      <w:r w:rsidR="00005B8B">
        <w:rPr>
          <w:rFonts w:asciiTheme="minorHAnsi" w:hAnsiTheme="minorHAnsi"/>
          <w:sz w:val="22"/>
          <w:szCs w:val="22"/>
        </w:rPr>
        <w:t xml:space="preserve"> The STRIKER model is utilised to assess turbine strike mortality rates. Whilst many of the previous applications of the STRIKER model has predominately been utilised in the freshwater environment, </w:t>
      </w:r>
      <w:proofErr w:type="spellStart"/>
      <w:r w:rsidR="00005B8B">
        <w:rPr>
          <w:rFonts w:asciiTheme="minorHAnsi" w:hAnsiTheme="minorHAnsi"/>
          <w:sz w:val="22"/>
          <w:szCs w:val="22"/>
        </w:rPr>
        <w:t>Cefas</w:t>
      </w:r>
      <w:proofErr w:type="spellEnd"/>
      <w:r w:rsidR="00005B8B">
        <w:rPr>
          <w:rFonts w:asciiTheme="minorHAnsi" w:hAnsiTheme="minorHAnsi"/>
          <w:sz w:val="22"/>
          <w:szCs w:val="22"/>
        </w:rPr>
        <w:t xml:space="preserve"> advise that as the model largely depends on the physical properties of the turbines and the size of the fish </w:t>
      </w:r>
      <w:proofErr w:type="spellStart"/>
      <w:r w:rsidR="00005B8B">
        <w:rPr>
          <w:rFonts w:asciiTheme="minorHAnsi" w:hAnsiTheme="minorHAnsi"/>
          <w:sz w:val="22"/>
          <w:szCs w:val="22"/>
        </w:rPr>
        <w:t>Cefas</w:t>
      </w:r>
      <w:proofErr w:type="spellEnd"/>
      <w:r w:rsidR="00005B8B">
        <w:rPr>
          <w:rFonts w:asciiTheme="minorHAnsi" w:hAnsiTheme="minorHAnsi"/>
          <w:sz w:val="22"/>
          <w:szCs w:val="22"/>
        </w:rPr>
        <w:t xml:space="preserve"> a broadly content with the of STRIKER model.  The</w:t>
      </w:r>
      <w:r w:rsidR="00E22B15">
        <w:rPr>
          <w:rFonts w:asciiTheme="minorHAnsi" w:hAnsiTheme="minorHAnsi"/>
          <w:sz w:val="22"/>
          <w:szCs w:val="22"/>
        </w:rPr>
        <w:t xml:space="preserve"> NRW</w:t>
      </w:r>
      <w:r w:rsidR="00005B8B">
        <w:rPr>
          <w:rFonts w:asciiTheme="minorHAnsi" w:hAnsiTheme="minorHAnsi"/>
          <w:sz w:val="22"/>
          <w:szCs w:val="22"/>
        </w:rPr>
        <w:t xml:space="preserve"> </w:t>
      </w:r>
      <w:r w:rsidR="00E22B15">
        <w:rPr>
          <w:rFonts w:asciiTheme="minorHAnsi" w:hAnsiTheme="minorHAnsi"/>
          <w:sz w:val="22"/>
          <w:szCs w:val="22"/>
        </w:rPr>
        <w:t>(</w:t>
      </w:r>
      <w:r w:rsidR="00005B8B">
        <w:rPr>
          <w:rFonts w:asciiTheme="minorHAnsi" w:hAnsiTheme="minorHAnsi"/>
          <w:sz w:val="22"/>
          <w:szCs w:val="22"/>
        </w:rPr>
        <w:t>Permitting Service</w:t>
      </w:r>
      <w:r w:rsidR="00E22B15">
        <w:rPr>
          <w:rFonts w:asciiTheme="minorHAnsi" w:hAnsiTheme="minorHAnsi"/>
          <w:sz w:val="22"/>
          <w:szCs w:val="22"/>
        </w:rPr>
        <w:t>) therefore</w:t>
      </w:r>
      <w:r w:rsidR="00005B8B">
        <w:rPr>
          <w:rFonts w:asciiTheme="minorHAnsi" w:hAnsiTheme="minorHAnsi"/>
          <w:sz w:val="22"/>
          <w:szCs w:val="22"/>
        </w:rPr>
        <w:t xml:space="preserve"> consider that based upon the information available that the STRIKER model is the best available tool for assessing turbine injury rate. </w:t>
      </w:r>
    </w:p>
    <w:p w:rsidR="00576E44" w:rsidRDefault="00576E44" w:rsidP="001272C7">
      <w:pPr>
        <w:rPr>
          <w:rFonts w:asciiTheme="minorHAnsi" w:hAnsiTheme="minorHAnsi"/>
          <w:sz w:val="22"/>
          <w:szCs w:val="22"/>
        </w:rPr>
      </w:pPr>
    </w:p>
    <w:p w:rsidR="00576E44" w:rsidRPr="00005B8B" w:rsidRDefault="00576E44" w:rsidP="00576E44">
      <w:pPr>
        <w:rPr>
          <w:rFonts w:asciiTheme="minorHAnsi" w:hAnsiTheme="minorHAnsi"/>
          <w:sz w:val="22"/>
          <w:szCs w:val="22"/>
        </w:rPr>
      </w:pPr>
      <w:r w:rsidRPr="00005B8B">
        <w:rPr>
          <w:rFonts w:asciiTheme="minorHAnsi" w:hAnsiTheme="minorHAnsi"/>
          <w:sz w:val="22"/>
          <w:szCs w:val="22"/>
          <w:u w:val="single"/>
        </w:rPr>
        <w:t>Individual Behaviour Model (IBM</w:t>
      </w:r>
      <w:r w:rsidRPr="00005B8B">
        <w:rPr>
          <w:rFonts w:asciiTheme="minorHAnsi" w:hAnsiTheme="minorHAnsi"/>
          <w:sz w:val="22"/>
          <w:szCs w:val="22"/>
        </w:rPr>
        <w:t xml:space="preserve">): Advice received from NRW </w:t>
      </w:r>
      <w:r w:rsidR="00E22B15">
        <w:rPr>
          <w:rFonts w:asciiTheme="minorHAnsi" w:hAnsiTheme="minorHAnsi"/>
          <w:sz w:val="22"/>
          <w:szCs w:val="22"/>
        </w:rPr>
        <w:t xml:space="preserve">(TE) </w:t>
      </w:r>
      <w:r w:rsidRPr="00005B8B">
        <w:rPr>
          <w:rFonts w:asciiTheme="minorHAnsi" w:hAnsiTheme="minorHAnsi"/>
          <w:sz w:val="22"/>
          <w:szCs w:val="22"/>
        </w:rPr>
        <w:t xml:space="preserve">and </w:t>
      </w:r>
      <w:proofErr w:type="spellStart"/>
      <w:r w:rsidRPr="00005B8B">
        <w:rPr>
          <w:rFonts w:asciiTheme="minorHAnsi" w:hAnsiTheme="minorHAnsi"/>
          <w:sz w:val="22"/>
          <w:szCs w:val="22"/>
        </w:rPr>
        <w:t>Cefas</w:t>
      </w:r>
      <w:proofErr w:type="spellEnd"/>
      <w:r w:rsidRPr="00005B8B">
        <w:rPr>
          <w:rFonts w:asciiTheme="minorHAnsi" w:hAnsiTheme="minorHAnsi"/>
          <w:sz w:val="22"/>
          <w:szCs w:val="22"/>
        </w:rPr>
        <w:t xml:space="preserve"> state that the model does not taking into account key life cycle stages (for example residency) for most fish species and there are concerns with a number of parameters such as regards to the navigational rules. The </w:t>
      </w:r>
      <w:r w:rsidR="00E22B15">
        <w:rPr>
          <w:rFonts w:asciiTheme="minorHAnsi" w:hAnsiTheme="minorHAnsi"/>
          <w:sz w:val="22"/>
          <w:szCs w:val="22"/>
        </w:rPr>
        <w:t>NRW (</w:t>
      </w:r>
      <w:r w:rsidRPr="00005B8B">
        <w:rPr>
          <w:rFonts w:asciiTheme="minorHAnsi" w:hAnsiTheme="minorHAnsi"/>
          <w:sz w:val="22"/>
          <w:szCs w:val="22"/>
        </w:rPr>
        <w:t>Permitting Service</w:t>
      </w:r>
      <w:r w:rsidR="00E22B15">
        <w:rPr>
          <w:rFonts w:asciiTheme="minorHAnsi" w:hAnsiTheme="minorHAnsi"/>
          <w:sz w:val="22"/>
          <w:szCs w:val="22"/>
        </w:rPr>
        <w:t>) therefore</w:t>
      </w:r>
      <w:r w:rsidRPr="00005B8B">
        <w:rPr>
          <w:rFonts w:asciiTheme="minorHAnsi" w:hAnsiTheme="minorHAnsi"/>
          <w:sz w:val="22"/>
          <w:szCs w:val="22"/>
        </w:rPr>
        <w:t xml:space="preserve"> consider</w:t>
      </w:r>
      <w:r w:rsidR="00005B8B">
        <w:rPr>
          <w:rFonts w:asciiTheme="minorHAnsi" w:hAnsiTheme="minorHAnsi"/>
          <w:sz w:val="22"/>
          <w:szCs w:val="22"/>
        </w:rPr>
        <w:t xml:space="preserve"> that based upon the available evidence</w:t>
      </w:r>
      <w:r w:rsidRPr="00005B8B">
        <w:rPr>
          <w:rFonts w:asciiTheme="minorHAnsi" w:hAnsiTheme="minorHAnsi"/>
          <w:sz w:val="22"/>
          <w:szCs w:val="22"/>
        </w:rPr>
        <w:t xml:space="preserve"> the IBM model cannot be considered to provide reliable estimates for the potential impacts.</w:t>
      </w:r>
    </w:p>
    <w:p w:rsidR="00085337" w:rsidRPr="00005B8B" w:rsidRDefault="00085337">
      <w:pPr>
        <w:rPr>
          <w:rFonts w:asciiTheme="minorHAnsi" w:hAnsiTheme="minorHAnsi"/>
          <w:sz w:val="22"/>
          <w:szCs w:val="22"/>
        </w:rPr>
      </w:pPr>
    </w:p>
    <w:p w:rsidR="00085337" w:rsidRPr="00005B8B" w:rsidRDefault="00576E44">
      <w:pPr>
        <w:rPr>
          <w:rFonts w:asciiTheme="minorHAnsi" w:hAnsiTheme="minorHAnsi"/>
          <w:sz w:val="22"/>
          <w:szCs w:val="22"/>
        </w:rPr>
      </w:pPr>
      <w:r w:rsidRPr="00005B8B">
        <w:rPr>
          <w:rFonts w:asciiTheme="minorHAnsi" w:hAnsiTheme="minorHAnsi"/>
          <w:sz w:val="22"/>
          <w:szCs w:val="22"/>
          <w:u w:val="single"/>
        </w:rPr>
        <w:t xml:space="preserve">Draw Zone Model </w:t>
      </w:r>
      <w:r w:rsidR="00005B8B">
        <w:rPr>
          <w:rFonts w:asciiTheme="minorHAnsi" w:hAnsiTheme="minorHAnsi"/>
          <w:sz w:val="22"/>
          <w:szCs w:val="22"/>
          <w:u w:val="single"/>
        </w:rPr>
        <w:t xml:space="preserve">(DZ) </w:t>
      </w:r>
      <w:r w:rsidRPr="00005B8B">
        <w:rPr>
          <w:rFonts w:asciiTheme="minorHAnsi" w:hAnsiTheme="minorHAnsi"/>
          <w:sz w:val="22"/>
          <w:szCs w:val="22"/>
          <w:u w:val="single"/>
        </w:rPr>
        <w:t xml:space="preserve">and </w:t>
      </w:r>
      <w:r w:rsidR="00085337" w:rsidRPr="00005B8B">
        <w:rPr>
          <w:rFonts w:asciiTheme="minorHAnsi" w:hAnsiTheme="minorHAnsi"/>
          <w:sz w:val="22"/>
          <w:szCs w:val="22"/>
          <w:u w:val="single"/>
        </w:rPr>
        <w:t>Alternative Draw Zone Model</w:t>
      </w:r>
      <w:r w:rsidR="00005B8B">
        <w:rPr>
          <w:rFonts w:asciiTheme="minorHAnsi" w:hAnsiTheme="minorHAnsi"/>
          <w:sz w:val="22"/>
          <w:szCs w:val="22"/>
          <w:u w:val="single"/>
        </w:rPr>
        <w:t xml:space="preserve"> (ADZ)</w:t>
      </w:r>
      <w:r w:rsidR="00085337" w:rsidRPr="00005B8B">
        <w:rPr>
          <w:rFonts w:asciiTheme="minorHAnsi" w:hAnsiTheme="minorHAnsi"/>
          <w:sz w:val="22"/>
          <w:szCs w:val="22"/>
        </w:rPr>
        <w:t>:</w:t>
      </w:r>
      <w:r w:rsidR="00092CAA" w:rsidRPr="00005B8B">
        <w:rPr>
          <w:rFonts w:asciiTheme="minorHAnsi" w:hAnsiTheme="minorHAnsi"/>
          <w:sz w:val="22"/>
          <w:szCs w:val="22"/>
        </w:rPr>
        <w:t xml:space="preserve"> </w:t>
      </w:r>
      <w:r w:rsidRPr="00005B8B">
        <w:rPr>
          <w:rFonts w:asciiTheme="minorHAnsi" w:hAnsiTheme="minorHAnsi"/>
          <w:sz w:val="22"/>
          <w:szCs w:val="22"/>
        </w:rPr>
        <w:t xml:space="preserve">The </w:t>
      </w:r>
      <w:r w:rsidR="00005B8B" w:rsidRPr="00005B8B">
        <w:rPr>
          <w:rFonts w:asciiTheme="minorHAnsi" w:hAnsiTheme="minorHAnsi"/>
          <w:sz w:val="22"/>
          <w:szCs w:val="22"/>
        </w:rPr>
        <w:t>applicant’s</w:t>
      </w:r>
      <w:r w:rsidRPr="00005B8B">
        <w:rPr>
          <w:rFonts w:asciiTheme="minorHAnsi" w:hAnsiTheme="minorHAnsi"/>
          <w:sz w:val="22"/>
          <w:szCs w:val="22"/>
        </w:rPr>
        <w:t xml:space="preserve"> submission provides the results of two </w:t>
      </w:r>
      <w:r w:rsidR="00005B8B" w:rsidRPr="00005B8B">
        <w:rPr>
          <w:rFonts w:asciiTheme="minorHAnsi" w:hAnsiTheme="minorHAnsi"/>
          <w:sz w:val="22"/>
          <w:szCs w:val="22"/>
        </w:rPr>
        <w:t xml:space="preserve">alternative modelling scenarios to the IBM, the Draw Zone model and the Alternative Draw Zone Model. </w:t>
      </w:r>
      <w:r w:rsidR="00092CAA" w:rsidRPr="00005B8B">
        <w:rPr>
          <w:rFonts w:asciiTheme="minorHAnsi" w:hAnsiTheme="minorHAnsi"/>
          <w:sz w:val="22"/>
          <w:szCs w:val="22"/>
        </w:rPr>
        <w:t xml:space="preserve">As the draw zone model is based upon </w:t>
      </w:r>
      <w:proofErr w:type="spellStart"/>
      <w:r w:rsidR="00092CAA" w:rsidRPr="00005B8B">
        <w:rPr>
          <w:rFonts w:asciiTheme="minorHAnsi" w:hAnsiTheme="minorHAnsi"/>
          <w:sz w:val="22"/>
          <w:szCs w:val="22"/>
        </w:rPr>
        <w:t>Hammar</w:t>
      </w:r>
      <w:proofErr w:type="spellEnd"/>
      <w:r w:rsidR="00092CAA" w:rsidRPr="00005B8B">
        <w:rPr>
          <w:rFonts w:asciiTheme="minorHAnsi" w:hAnsiTheme="minorHAnsi"/>
          <w:sz w:val="22"/>
          <w:szCs w:val="22"/>
        </w:rPr>
        <w:t xml:space="preserve"> </w:t>
      </w:r>
      <w:r w:rsidR="00092CAA" w:rsidRPr="00005B8B">
        <w:rPr>
          <w:rFonts w:asciiTheme="minorHAnsi" w:hAnsiTheme="minorHAnsi"/>
          <w:i/>
          <w:sz w:val="22"/>
          <w:szCs w:val="22"/>
        </w:rPr>
        <w:t>et al</w:t>
      </w:r>
      <w:r w:rsidR="00092CAA" w:rsidRPr="00005B8B">
        <w:rPr>
          <w:rFonts w:asciiTheme="minorHAnsi" w:hAnsiTheme="minorHAnsi"/>
          <w:sz w:val="22"/>
          <w:szCs w:val="22"/>
        </w:rPr>
        <w:t xml:space="preserve">. which was developed primarily to estimate encounters with tidal stream turbines, </w:t>
      </w:r>
      <w:proofErr w:type="spellStart"/>
      <w:r w:rsidR="00092CAA" w:rsidRPr="00005B8B">
        <w:rPr>
          <w:rFonts w:asciiTheme="minorHAnsi" w:hAnsiTheme="minorHAnsi"/>
          <w:sz w:val="22"/>
          <w:szCs w:val="22"/>
        </w:rPr>
        <w:t>Cefas</w:t>
      </w:r>
      <w:proofErr w:type="spellEnd"/>
      <w:r w:rsidR="00092CAA" w:rsidRPr="00005B8B">
        <w:rPr>
          <w:rFonts w:asciiTheme="minorHAnsi" w:hAnsiTheme="minorHAnsi"/>
          <w:sz w:val="22"/>
          <w:szCs w:val="22"/>
        </w:rPr>
        <w:t xml:space="preserve"> advise that </w:t>
      </w:r>
      <w:r w:rsidRPr="00005B8B">
        <w:rPr>
          <w:rFonts w:asciiTheme="minorHAnsi" w:hAnsiTheme="minorHAnsi"/>
          <w:sz w:val="22"/>
          <w:szCs w:val="22"/>
        </w:rPr>
        <w:t>the</w:t>
      </w:r>
      <w:r w:rsidR="00005B8B">
        <w:rPr>
          <w:rFonts w:asciiTheme="minorHAnsi" w:hAnsiTheme="minorHAnsi"/>
          <w:sz w:val="22"/>
          <w:szCs w:val="22"/>
        </w:rPr>
        <w:t xml:space="preserve"> DZ </w:t>
      </w:r>
      <w:r w:rsidRPr="00005B8B">
        <w:rPr>
          <w:rFonts w:asciiTheme="minorHAnsi" w:hAnsiTheme="minorHAnsi"/>
          <w:sz w:val="22"/>
          <w:szCs w:val="22"/>
        </w:rPr>
        <w:t xml:space="preserve">model is not ideal for the assessing potential impacts of lagoon turbines.  The alternative draw zone method was developed as a variation to the </w:t>
      </w:r>
      <w:r w:rsidR="00005B8B">
        <w:rPr>
          <w:rFonts w:asciiTheme="minorHAnsi" w:hAnsiTheme="minorHAnsi"/>
          <w:sz w:val="22"/>
          <w:szCs w:val="22"/>
        </w:rPr>
        <w:t>DZ</w:t>
      </w:r>
      <w:r w:rsidRPr="00005B8B">
        <w:rPr>
          <w:rFonts w:asciiTheme="minorHAnsi" w:hAnsiTheme="minorHAnsi"/>
          <w:sz w:val="22"/>
          <w:szCs w:val="22"/>
        </w:rPr>
        <w:t xml:space="preserve"> method but applies a probability for fish, within a certain distance of the </w:t>
      </w:r>
      <w:r w:rsidR="00005B8B">
        <w:rPr>
          <w:rFonts w:asciiTheme="minorHAnsi" w:hAnsiTheme="minorHAnsi"/>
          <w:sz w:val="22"/>
          <w:szCs w:val="22"/>
        </w:rPr>
        <w:t>DZ</w:t>
      </w:r>
      <w:r w:rsidRPr="00005B8B">
        <w:rPr>
          <w:rFonts w:asciiTheme="minorHAnsi" w:hAnsiTheme="minorHAnsi"/>
          <w:sz w:val="22"/>
          <w:szCs w:val="22"/>
        </w:rPr>
        <w:t xml:space="preserve">, entering the </w:t>
      </w:r>
      <w:r w:rsidR="00005B8B">
        <w:rPr>
          <w:rFonts w:asciiTheme="minorHAnsi" w:hAnsiTheme="minorHAnsi"/>
          <w:sz w:val="22"/>
          <w:szCs w:val="22"/>
        </w:rPr>
        <w:t>DZ</w:t>
      </w:r>
      <w:r w:rsidRPr="00005B8B">
        <w:rPr>
          <w:rFonts w:asciiTheme="minorHAnsi" w:hAnsiTheme="minorHAnsi"/>
          <w:sz w:val="22"/>
          <w:szCs w:val="22"/>
        </w:rPr>
        <w:t xml:space="preserve"> as a proportion of direction choices a fish could make. The values from the ADZ model are on average 10% greater than the Draw Zone model with the same parameter values. Therefore</w:t>
      </w:r>
      <w:r w:rsidR="00005B8B" w:rsidRPr="00005B8B">
        <w:rPr>
          <w:rFonts w:asciiTheme="minorHAnsi" w:hAnsiTheme="minorHAnsi"/>
          <w:sz w:val="22"/>
          <w:szCs w:val="22"/>
        </w:rPr>
        <w:t>,</w:t>
      </w:r>
      <w:r w:rsidRPr="00005B8B">
        <w:rPr>
          <w:rFonts w:asciiTheme="minorHAnsi" w:hAnsiTheme="minorHAnsi"/>
          <w:sz w:val="22"/>
          <w:szCs w:val="22"/>
        </w:rPr>
        <w:t xml:space="preserve"> the Permitting Service consider that the more precautionary ADZ values are utilised.</w:t>
      </w:r>
    </w:p>
    <w:p w:rsidR="00085337" w:rsidRDefault="00085337"/>
    <w:p w:rsidR="00680E8D" w:rsidRDefault="00680E8D"/>
    <w:p w:rsidR="00F34352" w:rsidRDefault="00F34352"/>
    <w:sectPr w:rsidR="00F34352" w:rsidSect="00E22B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77D" w:rsidRDefault="0016277D" w:rsidP="00E3289C">
      <w:r>
        <w:separator/>
      </w:r>
    </w:p>
  </w:endnote>
  <w:endnote w:type="continuationSeparator" w:id="0">
    <w:p w:rsidR="0016277D" w:rsidRDefault="0016277D" w:rsidP="00E3289C">
      <w:r>
        <w:continuationSeparator/>
      </w:r>
    </w:p>
  </w:endnote>
  <w:endnote w:id="1">
    <w:p w:rsidR="00D775A8" w:rsidRDefault="00D775A8" w:rsidP="00D775A8">
      <w:pPr>
        <w:pStyle w:val="EndnoteText"/>
      </w:pPr>
      <w:r>
        <w:rPr>
          <w:rStyle w:val="EndnoteReference"/>
        </w:rPr>
        <w:endnoteRef/>
      </w:r>
      <w:r>
        <w:t xml:space="preserve"> The term “Adverse effect” is taken from the Environmental Statement and does not imply that the NRW (Permitting Service) consider that there will be a</w:t>
      </w:r>
      <w:r w:rsidR="00283D43">
        <w:t>n</w:t>
      </w:r>
      <w:r>
        <w:t xml:space="preserve"> adverse effect upon European Sites in the context of the Conservation of Habitats and Species Regulations (2010) or as risk of deterioration of </w:t>
      </w:r>
      <w:r w:rsidR="00E80A03">
        <w:t xml:space="preserve">Waterbodies classified under </w:t>
      </w:r>
      <w:hyperlink r:id="rId1" w:tooltip="External Link: The Water Environment (Water Framework Directive) (England and Wales) Regulations 2003" w:history="1">
        <w:r w:rsidRPr="00763189">
          <w:t>The Water Environment (Water Framework Directive) (England and Wales) Regulations 2003</w:t>
        </w:r>
      </w:hyperlink>
      <w:r>
        <w:t>. The assessment of the impact levels under this legislation will be undertaken by the NRW (Permitting Service) in due course.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77D" w:rsidRDefault="0016277D" w:rsidP="00E3289C">
      <w:r>
        <w:separator/>
      </w:r>
    </w:p>
  </w:footnote>
  <w:footnote w:type="continuationSeparator" w:id="0">
    <w:p w:rsidR="0016277D" w:rsidRDefault="0016277D" w:rsidP="00E3289C">
      <w:r>
        <w:continuationSeparator/>
      </w:r>
    </w:p>
  </w:footnote>
  <w:footnote w:id="1">
    <w:p w:rsidR="00D775A8" w:rsidRDefault="00D775A8" w:rsidP="00D775A8">
      <w:pPr>
        <w:pStyle w:val="FootnoteText"/>
      </w:pPr>
      <w:r>
        <w:rPr>
          <w:rStyle w:val="FootnoteReference"/>
        </w:rPr>
        <w:footnoteRef/>
      </w:r>
      <w:r>
        <w:t xml:space="preserve"> The NRW (Permitting Service) highlight this this value is calculated based upon the outputs of the ADZ model and does not take account o</w:t>
      </w:r>
      <w:r w:rsidR="00680E8D">
        <w:t>f none turbine related impacts or any mitigation.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D0"/>
    <w:rsid w:val="00005B8B"/>
    <w:rsid w:val="00056ECA"/>
    <w:rsid w:val="0006636A"/>
    <w:rsid w:val="00070ACE"/>
    <w:rsid w:val="00085337"/>
    <w:rsid w:val="00092CAA"/>
    <w:rsid w:val="001272C7"/>
    <w:rsid w:val="0016277D"/>
    <w:rsid w:val="00186FB1"/>
    <w:rsid w:val="001876BF"/>
    <w:rsid w:val="001A47D0"/>
    <w:rsid w:val="00226FE1"/>
    <w:rsid w:val="00233AC8"/>
    <w:rsid w:val="002432AE"/>
    <w:rsid w:val="00283D43"/>
    <w:rsid w:val="00294D3B"/>
    <w:rsid w:val="003B6CF5"/>
    <w:rsid w:val="003D24CD"/>
    <w:rsid w:val="004832BF"/>
    <w:rsid w:val="00484362"/>
    <w:rsid w:val="00555880"/>
    <w:rsid w:val="00576949"/>
    <w:rsid w:val="00576E44"/>
    <w:rsid w:val="00594672"/>
    <w:rsid w:val="0060189E"/>
    <w:rsid w:val="00680E8D"/>
    <w:rsid w:val="006966F7"/>
    <w:rsid w:val="006A00CB"/>
    <w:rsid w:val="00727397"/>
    <w:rsid w:val="007447C5"/>
    <w:rsid w:val="00751098"/>
    <w:rsid w:val="00761F79"/>
    <w:rsid w:val="00763189"/>
    <w:rsid w:val="00831C5E"/>
    <w:rsid w:val="008C7B3A"/>
    <w:rsid w:val="008D3414"/>
    <w:rsid w:val="008D493F"/>
    <w:rsid w:val="008E0A60"/>
    <w:rsid w:val="00905E87"/>
    <w:rsid w:val="009936D5"/>
    <w:rsid w:val="00A22BA2"/>
    <w:rsid w:val="00A7791B"/>
    <w:rsid w:val="00AB12A8"/>
    <w:rsid w:val="00AC3F43"/>
    <w:rsid w:val="00AF016C"/>
    <w:rsid w:val="00B31790"/>
    <w:rsid w:val="00B329D4"/>
    <w:rsid w:val="00BA1B95"/>
    <w:rsid w:val="00BA71D4"/>
    <w:rsid w:val="00BC2051"/>
    <w:rsid w:val="00C076DF"/>
    <w:rsid w:val="00C2680B"/>
    <w:rsid w:val="00C3473E"/>
    <w:rsid w:val="00C37BED"/>
    <w:rsid w:val="00C528A5"/>
    <w:rsid w:val="00CF42C8"/>
    <w:rsid w:val="00D12517"/>
    <w:rsid w:val="00D775A8"/>
    <w:rsid w:val="00D97325"/>
    <w:rsid w:val="00DB2079"/>
    <w:rsid w:val="00E20955"/>
    <w:rsid w:val="00E21CE0"/>
    <w:rsid w:val="00E22B15"/>
    <w:rsid w:val="00E3289C"/>
    <w:rsid w:val="00E36B05"/>
    <w:rsid w:val="00E7658A"/>
    <w:rsid w:val="00E80A03"/>
    <w:rsid w:val="00EA2FB1"/>
    <w:rsid w:val="00EE7127"/>
    <w:rsid w:val="00F05055"/>
    <w:rsid w:val="00F33665"/>
    <w:rsid w:val="00F3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7B62DC-ED1F-43E1-8941-D97C57AA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47D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47D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89C"/>
    <w:pPr>
      <w:tabs>
        <w:tab w:val="center" w:pos="4513"/>
        <w:tab w:val="right" w:pos="9026"/>
      </w:tabs>
    </w:pPr>
  </w:style>
  <w:style w:type="character" w:customStyle="1" w:styleId="HeaderChar">
    <w:name w:val="Header Char"/>
    <w:basedOn w:val="DefaultParagraphFont"/>
    <w:link w:val="Header"/>
    <w:uiPriority w:val="99"/>
    <w:rsid w:val="00E3289C"/>
    <w:rPr>
      <w:rFonts w:ascii="Arial" w:eastAsia="Times New Roman" w:hAnsi="Arial" w:cs="Times New Roman"/>
      <w:sz w:val="24"/>
      <w:szCs w:val="24"/>
    </w:rPr>
  </w:style>
  <w:style w:type="paragraph" w:styleId="Footer">
    <w:name w:val="footer"/>
    <w:basedOn w:val="Normal"/>
    <w:link w:val="FooterChar"/>
    <w:uiPriority w:val="99"/>
    <w:unhideWhenUsed/>
    <w:rsid w:val="00E3289C"/>
    <w:pPr>
      <w:tabs>
        <w:tab w:val="center" w:pos="4513"/>
        <w:tab w:val="right" w:pos="9026"/>
      </w:tabs>
    </w:pPr>
  </w:style>
  <w:style w:type="character" w:customStyle="1" w:styleId="FooterChar">
    <w:name w:val="Footer Char"/>
    <w:basedOn w:val="DefaultParagraphFont"/>
    <w:link w:val="Footer"/>
    <w:uiPriority w:val="99"/>
    <w:rsid w:val="00E3289C"/>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3289C"/>
    <w:rPr>
      <w:sz w:val="16"/>
      <w:szCs w:val="16"/>
    </w:rPr>
  </w:style>
  <w:style w:type="paragraph" w:styleId="CommentText">
    <w:name w:val="annotation text"/>
    <w:basedOn w:val="Normal"/>
    <w:link w:val="CommentTextChar"/>
    <w:uiPriority w:val="99"/>
    <w:semiHidden/>
    <w:unhideWhenUsed/>
    <w:rsid w:val="00E3289C"/>
    <w:rPr>
      <w:sz w:val="20"/>
      <w:szCs w:val="20"/>
    </w:rPr>
  </w:style>
  <w:style w:type="character" w:customStyle="1" w:styleId="CommentTextChar">
    <w:name w:val="Comment Text Char"/>
    <w:basedOn w:val="DefaultParagraphFont"/>
    <w:link w:val="CommentText"/>
    <w:uiPriority w:val="99"/>
    <w:semiHidden/>
    <w:rsid w:val="00E328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3289C"/>
    <w:rPr>
      <w:b/>
      <w:bCs/>
    </w:rPr>
  </w:style>
  <w:style w:type="character" w:customStyle="1" w:styleId="CommentSubjectChar">
    <w:name w:val="Comment Subject Char"/>
    <w:basedOn w:val="CommentTextChar"/>
    <w:link w:val="CommentSubject"/>
    <w:uiPriority w:val="99"/>
    <w:semiHidden/>
    <w:rsid w:val="00E3289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32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89C"/>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63189"/>
    <w:rPr>
      <w:sz w:val="20"/>
      <w:szCs w:val="20"/>
    </w:rPr>
  </w:style>
  <w:style w:type="character" w:customStyle="1" w:styleId="EndnoteTextChar">
    <w:name w:val="Endnote Text Char"/>
    <w:basedOn w:val="DefaultParagraphFont"/>
    <w:link w:val="EndnoteText"/>
    <w:uiPriority w:val="99"/>
    <w:semiHidden/>
    <w:rsid w:val="0076318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763189"/>
    <w:rPr>
      <w:vertAlign w:val="superscript"/>
    </w:rPr>
  </w:style>
  <w:style w:type="paragraph" w:styleId="FootnoteText">
    <w:name w:val="footnote text"/>
    <w:basedOn w:val="Normal"/>
    <w:link w:val="FootnoteTextChar"/>
    <w:uiPriority w:val="99"/>
    <w:semiHidden/>
    <w:unhideWhenUsed/>
    <w:rsid w:val="00BC2051"/>
    <w:rPr>
      <w:sz w:val="20"/>
      <w:szCs w:val="20"/>
    </w:rPr>
  </w:style>
  <w:style w:type="character" w:customStyle="1" w:styleId="FootnoteTextChar">
    <w:name w:val="Footnote Text Char"/>
    <w:basedOn w:val="DefaultParagraphFont"/>
    <w:link w:val="FootnoteText"/>
    <w:uiPriority w:val="99"/>
    <w:semiHidden/>
    <w:rsid w:val="00BC2051"/>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C2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883">
      <w:bodyDiv w:val="1"/>
      <w:marLeft w:val="0"/>
      <w:marRight w:val="0"/>
      <w:marTop w:val="0"/>
      <w:marBottom w:val="0"/>
      <w:divBdr>
        <w:top w:val="none" w:sz="0" w:space="0" w:color="auto"/>
        <w:left w:val="none" w:sz="0" w:space="0" w:color="auto"/>
        <w:bottom w:val="none" w:sz="0" w:space="0" w:color="auto"/>
        <w:right w:val="none" w:sz="0" w:space="0" w:color="auto"/>
      </w:divBdr>
    </w:div>
    <w:div w:id="223028062">
      <w:bodyDiv w:val="1"/>
      <w:marLeft w:val="0"/>
      <w:marRight w:val="0"/>
      <w:marTop w:val="0"/>
      <w:marBottom w:val="0"/>
      <w:divBdr>
        <w:top w:val="none" w:sz="0" w:space="0" w:color="auto"/>
        <w:left w:val="none" w:sz="0" w:space="0" w:color="auto"/>
        <w:bottom w:val="none" w:sz="0" w:space="0" w:color="auto"/>
        <w:right w:val="none" w:sz="0" w:space="0" w:color="auto"/>
      </w:divBdr>
    </w:div>
    <w:div w:id="330254156">
      <w:bodyDiv w:val="1"/>
      <w:marLeft w:val="0"/>
      <w:marRight w:val="0"/>
      <w:marTop w:val="0"/>
      <w:marBottom w:val="0"/>
      <w:divBdr>
        <w:top w:val="none" w:sz="0" w:space="0" w:color="auto"/>
        <w:left w:val="none" w:sz="0" w:space="0" w:color="auto"/>
        <w:bottom w:val="none" w:sz="0" w:space="0" w:color="auto"/>
        <w:right w:val="none" w:sz="0" w:space="0" w:color="auto"/>
      </w:divBdr>
    </w:div>
    <w:div w:id="898831819">
      <w:bodyDiv w:val="1"/>
      <w:marLeft w:val="0"/>
      <w:marRight w:val="0"/>
      <w:marTop w:val="0"/>
      <w:marBottom w:val="0"/>
      <w:divBdr>
        <w:top w:val="none" w:sz="0" w:space="0" w:color="auto"/>
        <w:left w:val="none" w:sz="0" w:space="0" w:color="auto"/>
        <w:bottom w:val="none" w:sz="0" w:space="0" w:color="auto"/>
        <w:right w:val="none" w:sz="0" w:space="0" w:color="auto"/>
      </w:divBdr>
    </w:div>
    <w:div w:id="974989098">
      <w:bodyDiv w:val="1"/>
      <w:marLeft w:val="0"/>
      <w:marRight w:val="0"/>
      <w:marTop w:val="0"/>
      <w:marBottom w:val="0"/>
      <w:divBdr>
        <w:top w:val="none" w:sz="0" w:space="0" w:color="auto"/>
        <w:left w:val="none" w:sz="0" w:space="0" w:color="auto"/>
        <w:bottom w:val="none" w:sz="0" w:space="0" w:color="auto"/>
        <w:right w:val="none" w:sz="0" w:space="0" w:color="auto"/>
      </w:divBdr>
    </w:div>
    <w:div w:id="1273903555">
      <w:bodyDiv w:val="1"/>
      <w:marLeft w:val="0"/>
      <w:marRight w:val="0"/>
      <w:marTop w:val="0"/>
      <w:marBottom w:val="0"/>
      <w:divBdr>
        <w:top w:val="none" w:sz="0" w:space="0" w:color="auto"/>
        <w:left w:val="none" w:sz="0" w:space="0" w:color="auto"/>
        <w:bottom w:val="none" w:sz="0" w:space="0" w:color="auto"/>
        <w:right w:val="none" w:sz="0" w:space="0" w:color="auto"/>
      </w:divBdr>
    </w:div>
    <w:div w:id="1553811043">
      <w:bodyDiv w:val="1"/>
      <w:marLeft w:val="0"/>
      <w:marRight w:val="0"/>
      <w:marTop w:val="0"/>
      <w:marBottom w:val="0"/>
      <w:divBdr>
        <w:top w:val="none" w:sz="0" w:space="0" w:color="auto"/>
        <w:left w:val="none" w:sz="0" w:space="0" w:color="auto"/>
        <w:bottom w:val="none" w:sz="0" w:space="0" w:color="auto"/>
        <w:right w:val="none" w:sz="0" w:space="0" w:color="auto"/>
      </w:divBdr>
    </w:div>
    <w:div w:id="1620917553">
      <w:bodyDiv w:val="1"/>
      <w:marLeft w:val="0"/>
      <w:marRight w:val="0"/>
      <w:marTop w:val="0"/>
      <w:marBottom w:val="0"/>
      <w:divBdr>
        <w:top w:val="none" w:sz="0" w:space="0" w:color="auto"/>
        <w:left w:val="none" w:sz="0" w:space="0" w:color="auto"/>
        <w:bottom w:val="none" w:sz="0" w:space="0" w:color="auto"/>
        <w:right w:val="none" w:sz="0" w:space="0" w:color="auto"/>
      </w:divBdr>
    </w:div>
    <w:div w:id="1643925938">
      <w:bodyDiv w:val="1"/>
      <w:marLeft w:val="0"/>
      <w:marRight w:val="0"/>
      <w:marTop w:val="0"/>
      <w:marBottom w:val="0"/>
      <w:divBdr>
        <w:top w:val="none" w:sz="0" w:space="0" w:color="auto"/>
        <w:left w:val="none" w:sz="0" w:space="0" w:color="auto"/>
        <w:bottom w:val="none" w:sz="0" w:space="0" w:color="auto"/>
        <w:right w:val="none" w:sz="0" w:space="0" w:color="auto"/>
      </w:divBdr>
    </w:div>
    <w:div w:id="16818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www.opsi.gov.uk/si/si2003/200332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REGU-638-7239</_dlc_DocId>
    <_dlc_DocIdUrl xmlns="9be56660-2c31-41ef-bc00-23e72f632f2a">
      <Url>https://cyfoethnaturiolcymru.sharepoint.com/teams/Regulatory/wip/_layouts/15/DocIdRedir.aspx?ID=REGU-638-7239</Url>
      <Description>REGU-638-7239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AEAB8161DA79C478BAAF64F1A66E60F" ma:contentTypeVersion="16" ma:contentTypeDescription="" ma:contentTypeScope="" ma:versionID="58fb11800d2283d2f90d002f15a93e34">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A315B-CAF6-46DC-920A-0A9989171FAB}">
  <ds:schemaRefs>
    <ds:schemaRef ds:uri="http://schemas.microsoft.com/office/2006/metadata/propertie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91AFA1FE-E8FB-49E3-AF73-56DD6AA6F501}">
  <ds:schemaRefs>
    <ds:schemaRef ds:uri="http://schemas.microsoft.com/sharepoint/v3/contenttype/forms"/>
  </ds:schemaRefs>
</ds:datastoreItem>
</file>

<file path=customXml/itemProps3.xml><?xml version="1.0" encoding="utf-8"?>
<ds:datastoreItem xmlns:ds="http://schemas.openxmlformats.org/officeDocument/2006/customXml" ds:itemID="{16E56E40-FA26-411B-966B-0D0E6C3A631E}">
  <ds:schemaRefs>
    <ds:schemaRef ds:uri="http://schemas.microsoft.com/sharepoint/events"/>
  </ds:schemaRefs>
</ds:datastoreItem>
</file>

<file path=customXml/itemProps4.xml><?xml version="1.0" encoding="utf-8"?>
<ds:datastoreItem xmlns:ds="http://schemas.openxmlformats.org/officeDocument/2006/customXml" ds:itemID="{DFE839C4-93A0-427B-AD70-AE36E0609E68}">
  <ds:schemaRefs>
    <ds:schemaRef ds:uri="Microsoft.SharePoint.Taxonomy.ContentTypeSync"/>
  </ds:schemaRefs>
</ds:datastoreItem>
</file>

<file path=customXml/itemProps5.xml><?xml version="1.0" encoding="utf-8"?>
<ds:datastoreItem xmlns:ds="http://schemas.openxmlformats.org/officeDocument/2006/customXml" ds:itemID="{202B6C1B-0967-4D12-AB7A-CF4904877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02C9F9-6A08-4F5D-B1F2-6EB77A47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Jasmine</dc:creator>
  <cp:keywords/>
  <dc:description/>
  <cp:lastModifiedBy>Gough, Martyn</cp:lastModifiedBy>
  <cp:revision>2</cp:revision>
  <dcterms:created xsi:type="dcterms:W3CDTF">2016-12-21T14:36:00Z</dcterms:created>
  <dcterms:modified xsi:type="dcterms:W3CDTF">2016-12-21T14:36:00Z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0x01010067EB80C5FE939D4A9B3D8BA62129B7F501004AEAB8161DA79C478BAAF64F1A66E60F</vt:lpwstr>
  </property>
  <property fmtid="{D5CDD505-2E9C-101B-9397-08002B2CF9AE}" pid="3" name="_dlc_DocIdItemGuid">
    <vt:lpwstr>de35434a-4c44-4e1d-aefb-3776331f9508</vt:lpwstr>
  </property>
</Properties>
</file>